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A92" w:rsidRDefault="006E7818" w:rsidP="00C85EB5">
      <w:r>
        <w:fldChar w:fldCharType="begin"/>
      </w:r>
      <w:r>
        <w:instrText xml:space="preserve"> HYPERLINK "</w:instrText>
      </w:r>
      <w:r w:rsidRPr="006E7818">
        <w:instrText>https://www.ncbi.nlm.nih.gov/pmc/articles/PMC3687310/</w:instrText>
      </w:r>
      <w:r>
        <w:instrText xml:space="preserve">" </w:instrText>
      </w:r>
      <w:r>
        <w:fldChar w:fldCharType="separate"/>
      </w:r>
      <w:r w:rsidRPr="00FE27E7">
        <w:rPr>
          <w:rStyle w:val="Hyperlink"/>
        </w:rPr>
        <w:t>https://www.ncbi.nlm.nih.gov/pmc/articles/PMC3687310/</w:t>
      </w:r>
      <w:r>
        <w:fldChar w:fldCharType="end"/>
      </w:r>
    </w:p>
    <w:p w:rsidR="006E7818" w:rsidRDefault="006E7818" w:rsidP="00C85EB5"/>
    <w:p w:rsidR="00B05A92" w:rsidRDefault="00B05A92" w:rsidP="00C85EB5"/>
    <w:p w:rsidR="00B05A92" w:rsidRPr="00B05A92" w:rsidRDefault="00B05A92" w:rsidP="00B05A92">
      <w:pPr>
        <w:widowControl/>
        <w:spacing w:line="393" w:lineRule="atLeast"/>
        <w:jc w:val="left"/>
        <w:textAlignment w:val="top"/>
        <w:rPr>
          <w:rFonts w:ascii="Arial" w:eastAsia="SimSun" w:hAnsi="Arial" w:cs="Arial"/>
          <w:color w:val="000000"/>
          <w:kern w:val="0"/>
          <w:sz w:val="16"/>
          <w:szCs w:val="16"/>
        </w:rPr>
      </w:pPr>
      <w:hyperlink r:id="rId4" w:history="1">
        <w:r w:rsidRPr="00B05A92">
          <w:rPr>
            <w:rFonts w:ascii="Arial" w:eastAsia="SimSun" w:hAnsi="Arial" w:cs="Arial"/>
            <w:color w:val="642A8F"/>
            <w:kern w:val="0"/>
            <w:sz w:val="16"/>
            <w:szCs w:val="16"/>
            <w:u w:val="single"/>
          </w:rPr>
          <w:t>Diabetes Care</w:t>
        </w:r>
      </w:hyperlink>
      <w:r w:rsidRPr="00B05A92">
        <w:rPr>
          <w:rFonts w:ascii="Arial" w:eastAsia="SimSun" w:hAnsi="Arial" w:cs="Arial"/>
          <w:color w:val="000000"/>
          <w:kern w:val="0"/>
          <w:sz w:val="16"/>
          <w:szCs w:val="16"/>
        </w:rPr>
        <w:t>. 2013 Jul; 36(7): 1961–1966.</w:t>
      </w:r>
    </w:p>
    <w:p w:rsidR="00B05A92" w:rsidRPr="00B05A92" w:rsidRDefault="00B05A92" w:rsidP="00B05A92">
      <w:pPr>
        <w:widowControl/>
        <w:spacing w:line="393" w:lineRule="atLeast"/>
        <w:jc w:val="left"/>
        <w:textAlignment w:val="top"/>
        <w:rPr>
          <w:rFonts w:ascii="Arial" w:eastAsia="SimSun" w:hAnsi="Arial" w:cs="Arial"/>
          <w:color w:val="000000"/>
          <w:kern w:val="0"/>
          <w:sz w:val="16"/>
          <w:szCs w:val="16"/>
        </w:rPr>
      </w:pPr>
      <w:r w:rsidRPr="00B05A92">
        <w:rPr>
          <w:rFonts w:ascii="Arial" w:eastAsia="SimSun" w:hAnsi="Arial" w:cs="Arial"/>
          <w:color w:val="000000"/>
          <w:kern w:val="0"/>
          <w:sz w:val="16"/>
          <w:szCs w:val="16"/>
        </w:rPr>
        <w:t>Published online 2013 Jun 12. </w:t>
      </w:r>
      <w:proofErr w:type="spellStart"/>
      <w:r w:rsidRPr="00B05A92">
        <w:rPr>
          <w:rFonts w:ascii="Arial" w:eastAsia="SimSun" w:hAnsi="Arial" w:cs="Arial"/>
          <w:color w:val="000000"/>
          <w:kern w:val="0"/>
          <w:sz w:val="16"/>
          <w:szCs w:val="16"/>
        </w:rPr>
        <w:t>doi</w:t>
      </w:r>
      <w:proofErr w:type="spellEnd"/>
      <w:r w:rsidRPr="00B05A92">
        <w:rPr>
          <w:rFonts w:ascii="Arial" w:eastAsia="SimSun" w:hAnsi="Arial" w:cs="Arial"/>
          <w:color w:val="000000"/>
          <w:kern w:val="0"/>
          <w:sz w:val="16"/>
          <w:szCs w:val="16"/>
        </w:rPr>
        <w:t>:  </w:t>
      </w:r>
      <w:hyperlink r:id="rId5" w:tgtFrame="pmc_ext" w:history="1">
        <w:r w:rsidRPr="00B05A92">
          <w:rPr>
            <w:rFonts w:ascii="Arial" w:eastAsia="SimSun" w:hAnsi="Arial" w:cs="Arial"/>
            <w:color w:val="642A8F"/>
            <w:kern w:val="0"/>
            <w:sz w:val="16"/>
            <w:szCs w:val="16"/>
            <w:u w:val="single"/>
          </w:rPr>
          <w:t>10.2337/dc12-2160</w:t>
        </w:r>
      </w:hyperlink>
    </w:p>
    <w:p w:rsidR="00B05A92" w:rsidRPr="00B05A92" w:rsidRDefault="00B05A92" w:rsidP="00B05A92">
      <w:pPr>
        <w:widowControl/>
        <w:spacing w:line="393" w:lineRule="atLeast"/>
        <w:jc w:val="right"/>
        <w:textAlignment w:val="top"/>
        <w:rPr>
          <w:rFonts w:ascii="Arial" w:eastAsia="SimSun" w:hAnsi="Arial" w:cs="Arial"/>
          <w:color w:val="000000"/>
          <w:kern w:val="0"/>
          <w:sz w:val="16"/>
          <w:szCs w:val="16"/>
        </w:rPr>
      </w:pPr>
      <w:r w:rsidRPr="00B05A92">
        <w:rPr>
          <w:rFonts w:ascii="Arial" w:eastAsia="SimSun" w:hAnsi="Arial" w:cs="Arial"/>
          <w:color w:val="000000"/>
          <w:kern w:val="0"/>
          <w:sz w:val="16"/>
          <w:szCs w:val="16"/>
        </w:rPr>
        <w:t>PMCID: PMC3687310</w:t>
      </w:r>
    </w:p>
    <w:p w:rsidR="00B05A92" w:rsidRPr="00B05A92" w:rsidRDefault="00B05A92" w:rsidP="00B05A92">
      <w:pPr>
        <w:widowControl/>
        <w:spacing w:before="240" w:after="120" w:line="324" w:lineRule="atLeast"/>
        <w:jc w:val="left"/>
        <w:outlineLvl w:val="0"/>
        <w:rPr>
          <w:rFonts w:ascii="Arial" w:eastAsia="SimSun" w:hAnsi="Arial" w:cs="Arial"/>
          <w:b/>
          <w:bCs/>
          <w:color w:val="000000"/>
          <w:kern w:val="36"/>
          <w:sz w:val="29"/>
          <w:szCs w:val="29"/>
        </w:rPr>
      </w:pPr>
      <w:bookmarkStart w:id="0" w:name="_GoBack"/>
      <w:r w:rsidRPr="00B05A92">
        <w:rPr>
          <w:rFonts w:ascii="Arial" w:eastAsia="SimSun" w:hAnsi="Arial" w:cs="Arial"/>
          <w:b/>
          <w:bCs/>
          <w:color w:val="000000"/>
          <w:kern w:val="36"/>
          <w:sz w:val="29"/>
          <w:szCs w:val="29"/>
        </w:rPr>
        <w:t>Lack of Effectiveness of Hyperbaric Oxygen Therapy</w:t>
      </w:r>
      <w:bookmarkEnd w:id="0"/>
      <w:r w:rsidRPr="00B05A92">
        <w:rPr>
          <w:rFonts w:ascii="Arial" w:eastAsia="SimSun" w:hAnsi="Arial" w:cs="Arial"/>
          <w:b/>
          <w:bCs/>
          <w:color w:val="000000"/>
          <w:kern w:val="36"/>
          <w:sz w:val="29"/>
          <w:szCs w:val="29"/>
        </w:rPr>
        <w:t xml:space="preserve"> for the Treatment of Diabetic Foot Ulcer and the Prevention of Amputation</w:t>
      </w:r>
    </w:p>
    <w:p w:rsidR="00B05A92" w:rsidRPr="00B05A92" w:rsidRDefault="00B05A92" w:rsidP="00B05A92">
      <w:pPr>
        <w:widowControl/>
        <w:jc w:val="left"/>
        <w:rPr>
          <w:rFonts w:ascii="Arial" w:eastAsia="SimSun" w:hAnsi="Arial" w:cs="Arial"/>
          <w:color w:val="000000"/>
          <w:kern w:val="0"/>
          <w:sz w:val="23"/>
          <w:szCs w:val="23"/>
        </w:rPr>
      </w:pPr>
      <w:r w:rsidRPr="00B05A92">
        <w:rPr>
          <w:rFonts w:ascii="Arial" w:eastAsia="SimSun" w:hAnsi="Arial" w:cs="Arial"/>
          <w:color w:val="000000"/>
          <w:kern w:val="0"/>
          <w:sz w:val="23"/>
          <w:szCs w:val="23"/>
        </w:rPr>
        <w:t xml:space="preserve">A cohort </w:t>
      </w:r>
      <w:proofErr w:type="gramStart"/>
      <w:r w:rsidRPr="00B05A92">
        <w:rPr>
          <w:rFonts w:ascii="Arial" w:eastAsia="SimSun" w:hAnsi="Arial" w:cs="Arial"/>
          <w:color w:val="000000"/>
          <w:kern w:val="0"/>
          <w:sz w:val="23"/>
          <w:szCs w:val="23"/>
        </w:rPr>
        <w:t>study</w:t>
      </w:r>
      <w:proofErr w:type="gramEnd"/>
    </w:p>
    <w:p w:rsidR="00B05A92" w:rsidRPr="00B05A92" w:rsidRDefault="00B05A92" w:rsidP="00B05A92">
      <w:pPr>
        <w:widowControl/>
        <w:jc w:val="left"/>
        <w:rPr>
          <w:rFonts w:ascii="Arial" w:eastAsia="SimSun" w:hAnsi="Arial" w:cs="Arial"/>
          <w:color w:val="000000"/>
          <w:kern w:val="0"/>
          <w:sz w:val="19"/>
          <w:szCs w:val="19"/>
        </w:rPr>
      </w:pPr>
      <w:hyperlink r:id="rId6" w:history="1">
        <w:r w:rsidRPr="00B05A92">
          <w:rPr>
            <w:rFonts w:ascii="Arial" w:eastAsia="SimSun" w:hAnsi="Arial" w:cs="Arial"/>
            <w:color w:val="642A8F"/>
            <w:kern w:val="0"/>
            <w:sz w:val="19"/>
            <w:szCs w:val="19"/>
            <w:u w:val="single"/>
          </w:rPr>
          <w:t>David J. Margolis</w:t>
        </w:r>
      </w:hyperlink>
      <w:r w:rsidRPr="00B05A92">
        <w:rPr>
          <w:rFonts w:ascii="Arial" w:eastAsia="SimSun" w:hAnsi="Arial" w:cs="Arial"/>
          <w:color w:val="000000"/>
          <w:kern w:val="0"/>
          <w:sz w:val="19"/>
          <w:szCs w:val="19"/>
        </w:rPr>
        <w:t>, MD, PHD,</w:t>
      </w:r>
      <w:r w:rsidRPr="00B05A92">
        <w:rPr>
          <w:rFonts w:ascii="Arial" w:eastAsia="SimSun" w:hAnsi="Arial" w:cs="Arial"/>
          <w:color w:val="000000"/>
          <w:kern w:val="0"/>
          <w:sz w:val="16"/>
          <w:szCs w:val="16"/>
          <w:vertAlign w:val="superscript"/>
        </w:rPr>
        <w:t>1,2</w:t>
      </w:r>
      <w:r w:rsidRPr="00B05A92">
        <w:rPr>
          <w:rFonts w:ascii="Arial" w:eastAsia="SimSun" w:hAnsi="Arial" w:cs="Arial"/>
          <w:color w:val="000000"/>
          <w:kern w:val="0"/>
          <w:sz w:val="19"/>
          <w:szCs w:val="19"/>
        </w:rPr>
        <w:t> </w:t>
      </w:r>
      <w:proofErr w:type="spellStart"/>
      <w:r w:rsidRPr="00B05A92">
        <w:rPr>
          <w:rFonts w:ascii="Arial" w:eastAsia="SimSun" w:hAnsi="Arial" w:cs="Arial"/>
          <w:color w:val="000000"/>
          <w:kern w:val="0"/>
          <w:sz w:val="19"/>
          <w:szCs w:val="19"/>
        </w:rPr>
        <w:fldChar w:fldCharType="begin"/>
      </w:r>
      <w:r w:rsidRPr="00B05A92">
        <w:rPr>
          <w:rFonts w:ascii="Arial" w:eastAsia="SimSun" w:hAnsi="Arial" w:cs="Arial"/>
          <w:color w:val="000000"/>
          <w:kern w:val="0"/>
          <w:sz w:val="19"/>
          <w:szCs w:val="19"/>
        </w:rPr>
        <w:instrText xml:space="preserve"> HYPERLINK "https://www.ncbi.nlm.nih.gov/pubmed/?term=Gupta%20J%5BAuthor%5D&amp;cauthor=true&amp;cauthor_uid=23423696" </w:instrText>
      </w:r>
      <w:r w:rsidRPr="00B05A92">
        <w:rPr>
          <w:rFonts w:ascii="Arial" w:eastAsia="SimSun" w:hAnsi="Arial" w:cs="Arial"/>
          <w:color w:val="000000"/>
          <w:kern w:val="0"/>
          <w:sz w:val="19"/>
          <w:szCs w:val="19"/>
        </w:rPr>
        <w:fldChar w:fldCharType="separate"/>
      </w:r>
      <w:r w:rsidRPr="00B05A92">
        <w:rPr>
          <w:rFonts w:ascii="Arial" w:eastAsia="SimSun" w:hAnsi="Arial" w:cs="Arial"/>
          <w:color w:val="642A8F"/>
          <w:kern w:val="0"/>
          <w:sz w:val="19"/>
          <w:szCs w:val="19"/>
          <w:u w:val="single"/>
        </w:rPr>
        <w:t>Jayanta</w:t>
      </w:r>
      <w:proofErr w:type="spellEnd"/>
      <w:r w:rsidRPr="00B05A92">
        <w:rPr>
          <w:rFonts w:ascii="Arial" w:eastAsia="SimSun" w:hAnsi="Arial" w:cs="Arial"/>
          <w:color w:val="642A8F"/>
          <w:kern w:val="0"/>
          <w:sz w:val="19"/>
          <w:szCs w:val="19"/>
          <w:u w:val="single"/>
        </w:rPr>
        <w:t xml:space="preserve"> Gupta</w:t>
      </w:r>
      <w:r w:rsidRPr="00B05A92">
        <w:rPr>
          <w:rFonts w:ascii="Arial" w:eastAsia="SimSun" w:hAnsi="Arial" w:cs="Arial"/>
          <w:color w:val="000000"/>
          <w:kern w:val="0"/>
          <w:sz w:val="19"/>
          <w:szCs w:val="19"/>
        </w:rPr>
        <w:fldChar w:fldCharType="end"/>
      </w:r>
      <w:r w:rsidRPr="00B05A92">
        <w:rPr>
          <w:rFonts w:ascii="Arial" w:eastAsia="SimSun" w:hAnsi="Arial" w:cs="Arial"/>
          <w:color w:val="000000"/>
          <w:kern w:val="0"/>
          <w:sz w:val="19"/>
          <w:szCs w:val="19"/>
        </w:rPr>
        <w:t>, MD, PHD,</w:t>
      </w:r>
      <w:r w:rsidRPr="00B05A92">
        <w:rPr>
          <w:rFonts w:ascii="Arial" w:eastAsia="SimSun" w:hAnsi="Arial" w:cs="Arial"/>
          <w:color w:val="000000"/>
          <w:kern w:val="0"/>
          <w:sz w:val="16"/>
          <w:szCs w:val="16"/>
          <w:vertAlign w:val="superscript"/>
        </w:rPr>
        <w:t>2</w:t>
      </w:r>
      <w:r w:rsidRPr="00B05A92">
        <w:rPr>
          <w:rFonts w:ascii="Arial" w:eastAsia="SimSun" w:hAnsi="Arial" w:cs="Arial"/>
          <w:color w:val="000000"/>
          <w:kern w:val="0"/>
          <w:sz w:val="19"/>
          <w:szCs w:val="19"/>
        </w:rPr>
        <w:t> </w:t>
      </w:r>
      <w:hyperlink r:id="rId7" w:history="1">
        <w:r w:rsidRPr="00B05A92">
          <w:rPr>
            <w:rFonts w:ascii="Arial" w:eastAsia="SimSun" w:hAnsi="Arial" w:cs="Arial"/>
            <w:color w:val="642A8F"/>
            <w:kern w:val="0"/>
            <w:sz w:val="19"/>
            <w:szCs w:val="19"/>
            <w:u w:val="single"/>
          </w:rPr>
          <w:t>Ole Hoffstad</w:t>
        </w:r>
      </w:hyperlink>
      <w:r w:rsidRPr="00B05A92">
        <w:rPr>
          <w:rFonts w:ascii="Arial" w:eastAsia="SimSun" w:hAnsi="Arial" w:cs="Arial"/>
          <w:color w:val="000000"/>
          <w:kern w:val="0"/>
          <w:sz w:val="19"/>
          <w:szCs w:val="19"/>
        </w:rPr>
        <w:t>, MS,</w:t>
      </w:r>
      <w:r w:rsidRPr="00B05A92">
        <w:rPr>
          <w:rFonts w:ascii="Arial" w:eastAsia="SimSun" w:hAnsi="Arial" w:cs="Arial"/>
          <w:color w:val="000000"/>
          <w:kern w:val="0"/>
          <w:sz w:val="16"/>
          <w:szCs w:val="16"/>
          <w:vertAlign w:val="superscript"/>
        </w:rPr>
        <w:t>2</w:t>
      </w:r>
      <w:r w:rsidRPr="00B05A92">
        <w:rPr>
          <w:rFonts w:ascii="Arial" w:eastAsia="SimSun" w:hAnsi="Arial" w:cs="Arial"/>
          <w:color w:val="000000"/>
          <w:kern w:val="0"/>
          <w:sz w:val="19"/>
          <w:szCs w:val="19"/>
        </w:rPr>
        <w:t> </w:t>
      </w:r>
      <w:proofErr w:type="spellStart"/>
      <w:r w:rsidRPr="00B05A92">
        <w:rPr>
          <w:rFonts w:ascii="Arial" w:eastAsia="SimSun" w:hAnsi="Arial" w:cs="Arial"/>
          <w:color w:val="000000"/>
          <w:kern w:val="0"/>
          <w:sz w:val="19"/>
          <w:szCs w:val="19"/>
        </w:rPr>
        <w:fldChar w:fldCharType="begin"/>
      </w:r>
      <w:r w:rsidRPr="00B05A92">
        <w:rPr>
          <w:rFonts w:ascii="Arial" w:eastAsia="SimSun" w:hAnsi="Arial" w:cs="Arial"/>
          <w:color w:val="000000"/>
          <w:kern w:val="0"/>
          <w:sz w:val="19"/>
          <w:szCs w:val="19"/>
        </w:rPr>
        <w:instrText xml:space="preserve"> HYPERLINK "https://www.ncbi.nlm.nih.gov/pubmed/?term=Papdopoulos%20M%5BAuthor%5D&amp;cauthor=true&amp;cauthor_uid=23423696" </w:instrText>
      </w:r>
      <w:r w:rsidRPr="00B05A92">
        <w:rPr>
          <w:rFonts w:ascii="Arial" w:eastAsia="SimSun" w:hAnsi="Arial" w:cs="Arial"/>
          <w:color w:val="000000"/>
          <w:kern w:val="0"/>
          <w:sz w:val="19"/>
          <w:szCs w:val="19"/>
        </w:rPr>
        <w:fldChar w:fldCharType="separate"/>
      </w:r>
      <w:r w:rsidRPr="00B05A92">
        <w:rPr>
          <w:rFonts w:ascii="Arial" w:eastAsia="SimSun" w:hAnsi="Arial" w:cs="Arial"/>
          <w:color w:val="642A8F"/>
          <w:kern w:val="0"/>
          <w:sz w:val="19"/>
          <w:szCs w:val="19"/>
          <w:u w:val="single"/>
        </w:rPr>
        <w:t>Maryte</w:t>
      </w:r>
      <w:proofErr w:type="spellEnd"/>
      <w:r w:rsidRPr="00B05A92">
        <w:rPr>
          <w:rFonts w:ascii="Arial" w:eastAsia="SimSun" w:hAnsi="Arial" w:cs="Arial"/>
          <w:color w:val="642A8F"/>
          <w:kern w:val="0"/>
          <w:sz w:val="19"/>
          <w:szCs w:val="19"/>
          <w:u w:val="single"/>
        </w:rPr>
        <w:t xml:space="preserve"> Papdopoulos</w:t>
      </w:r>
      <w:r w:rsidRPr="00B05A92">
        <w:rPr>
          <w:rFonts w:ascii="Arial" w:eastAsia="SimSun" w:hAnsi="Arial" w:cs="Arial"/>
          <w:color w:val="000000"/>
          <w:kern w:val="0"/>
          <w:sz w:val="19"/>
          <w:szCs w:val="19"/>
        </w:rPr>
        <w:fldChar w:fldCharType="end"/>
      </w:r>
      <w:r w:rsidRPr="00B05A92">
        <w:rPr>
          <w:rFonts w:ascii="Arial" w:eastAsia="SimSun" w:hAnsi="Arial" w:cs="Arial"/>
          <w:color w:val="000000"/>
          <w:kern w:val="0"/>
          <w:sz w:val="19"/>
          <w:szCs w:val="19"/>
        </w:rPr>
        <w:t>, BA,</w:t>
      </w:r>
      <w:r w:rsidRPr="00B05A92">
        <w:rPr>
          <w:rFonts w:ascii="Arial" w:eastAsia="SimSun" w:hAnsi="Arial" w:cs="Arial"/>
          <w:color w:val="000000"/>
          <w:kern w:val="0"/>
          <w:sz w:val="16"/>
          <w:szCs w:val="16"/>
          <w:vertAlign w:val="superscript"/>
        </w:rPr>
        <w:t>2</w:t>
      </w:r>
      <w:r w:rsidRPr="00B05A92">
        <w:rPr>
          <w:rFonts w:ascii="Arial" w:eastAsia="SimSun" w:hAnsi="Arial" w:cs="Arial"/>
          <w:color w:val="000000"/>
          <w:kern w:val="0"/>
          <w:sz w:val="19"/>
          <w:szCs w:val="19"/>
        </w:rPr>
        <w:t> </w:t>
      </w:r>
      <w:hyperlink r:id="rId8" w:history="1">
        <w:r w:rsidRPr="00B05A92">
          <w:rPr>
            <w:rFonts w:ascii="Arial" w:eastAsia="SimSun" w:hAnsi="Arial" w:cs="Arial"/>
            <w:color w:val="642A8F"/>
            <w:kern w:val="0"/>
            <w:sz w:val="19"/>
            <w:szCs w:val="19"/>
            <w:u w:val="single"/>
          </w:rPr>
          <w:t>Henry A. Glick</w:t>
        </w:r>
      </w:hyperlink>
      <w:r w:rsidRPr="00B05A92">
        <w:rPr>
          <w:rFonts w:ascii="Arial" w:eastAsia="SimSun" w:hAnsi="Arial" w:cs="Arial"/>
          <w:color w:val="000000"/>
          <w:kern w:val="0"/>
          <w:sz w:val="19"/>
          <w:szCs w:val="19"/>
        </w:rPr>
        <w:t>, PHD,</w:t>
      </w:r>
      <w:r w:rsidRPr="00B05A92">
        <w:rPr>
          <w:rFonts w:ascii="Arial" w:eastAsia="SimSun" w:hAnsi="Arial" w:cs="Arial"/>
          <w:color w:val="000000"/>
          <w:kern w:val="0"/>
          <w:sz w:val="16"/>
          <w:szCs w:val="16"/>
          <w:vertAlign w:val="superscript"/>
        </w:rPr>
        <w:t>3</w:t>
      </w:r>
      <w:r w:rsidRPr="00B05A92">
        <w:rPr>
          <w:rFonts w:ascii="Arial" w:eastAsia="SimSun" w:hAnsi="Arial" w:cs="Arial"/>
          <w:color w:val="000000"/>
          <w:kern w:val="0"/>
          <w:sz w:val="19"/>
          <w:szCs w:val="19"/>
        </w:rPr>
        <w:t> </w:t>
      </w:r>
      <w:hyperlink r:id="rId9" w:history="1">
        <w:r w:rsidRPr="00B05A92">
          <w:rPr>
            <w:rFonts w:ascii="Arial" w:eastAsia="SimSun" w:hAnsi="Arial" w:cs="Arial"/>
            <w:color w:val="642A8F"/>
            <w:kern w:val="0"/>
            <w:sz w:val="19"/>
            <w:szCs w:val="19"/>
            <w:u w:val="single"/>
          </w:rPr>
          <w:t>Stephen R. Thom</w:t>
        </w:r>
      </w:hyperlink>
      <w:r w:rsidRPr="00B05A92">
        <w:rPr>
          <w:rFonts w:ascii="Arial" w:eastAsia="SimSun" w:hAnsi="Arial" w:cs="Arial"/>
          <w:color w:val="000000"/>
          <w:kern w:val="0"/>
          <w:sz w:val="19"/>
          <w:szCs w:val="19"/>
        </w:rPr>
        <w:t>, MD, PHD,</w:t>
      </w:r>
      <w:r w:rsidRPr="00B05A92">
        <w:rPr>
          <w:rFonts w:ascii="Arial" w:eastAsia="SimSun" w:hAnsi="Arial" w:cs="Arial"/>
          <w:color w:val="000000"/>
          <w:kern w:val="0"/>
          <w:sz w:val="16"/>
          <w:szCs w:val="16"/>
          <w:vertAlign w:val="superscript"/>
        </w:rPr>
        <w:t>4</w:t>
      </w:r>
      <w:r w:rsidRPr="00B05A92">
        <w:rPr>
          <w:rFonts w:ascii="Arial" w:eastAsia="SimSun" w:hAnsi="Arial" w:cs="Arial"/>
          <w:color w:val="000000"/>
          <w:kern w:val="0"/>
          <w:sz w:val="19"/>
          <w:szCs w:val="19"/>
        </w:rPr>
        <w:t> and </w:t>
      </w:r>
      <w:hyperlink r:id="rId10" w:history="1">
        <w:r w:rsidRPr="00B05A92">
          <w:rPr>
            <w:rFonts w:ascii="Arial" w:eastAsia="SimSun" w:hAnsi="Arial" w:cs="Arial"/>
            <w:color w:val="642A8F"/>
            <w:kern w:val="0"/>
            <w:sz w:val="19"/>
            <w:szCs w:val="19"/>
            <w:u w:val="single"/>
          </w:rPr>
          <w:t>Nandita Mitra</w:t>
        </w:r>
      </w:hyperlink>
      <w:r w:rsidRPr="00B05A92">
        <w:rPr>
          <w:rFonts w:ascii="Arial" w:eastAsia="SimSun" w:hAnsi="Arial" w:cs="Arial"/>
          <w:color w:val="000000"/>
          <w:kern w:val="0"/>
          <w:sz w:val="19"/>
          <w:szCs w:val="19"/>
        </w:rPr>
        <w:t>, PHD</w:t>
      </w:r>
      <w:r w:rsidRPr="00B05A92">
        <w:rPr>
          <w:rFonts w:ascii="Arial" w:eastAsia="SimSun" w:hAnsi="Arial" w:cs="Arial"/>
          <w:color w:val="000000"/>
          <w:kern w:val="0"/>
          <w:sz w:val="16"/>
          <w:szCs w:val="16"/>
          <w:vertAlign w:val="superscript"/>
        </w:rPr>
        <w:t>2</w:t>
      </w:r>
    </w:p>
    <w:p w:rsidR="006E7818" w:rsidRDefault="006E7818" w:rsidP="00B05A92">
      <w:pPr>
        <w:widowControl/>
        <w:shd w:val="clear" w:color="auto" w:fill="FFF4CE"/>
        <w:spacing w:line="393" w:lineRule="atLeast"/>
        <w:jc w:val="left"/>
        <w:rPr>
          <w:rFonts w:ascii="Arial" w:eastAsia="SimSun" w:hAnsi="Arial" w:cs="Arial"/>
          <w:color w:val="000000"/>
          <w:kern w:val="0"/>
          <w:sz w:val="16"/>
          <w:szCs w:val="16"/>
        </w:rPr>
      </w:pPr>
    </w:p>
    <w:p w:rsidR="006E7818" w:rsidRPr="006E7818" w:rsidRDefault="006E7818" w:rsidP="006E7818">
      <w:pPr>
        <w:widowControl/>
        <w:shd w:val="clear" w:color="auto" w:fill="FFFFFF"/>
        <w:jc w:val="left"/>
        <w:rPr>
          <w:rFonts w:ascii="Arial" w:eastAsia="SimSun" w:hAnsi="Arial" w:cs="Arial"/>
          <w:vanish/>
          <w:color w:val="000000"/>
          <w:kern w:val="0"/>
          <w:sz w:val="16"/>
          <w:szCs w:val="16"/>
          <w:lang w:val="en"/>
        </w:rPr>
      </w:pPr>
      <w:r w:rsidRPr="006E7818">
        <w:rPr>
          <w:rFonts w:ascii="Arial" w:eastAsia="SimSun" w:hAnsi="Arial" w:cs="Arial"/>
          <w:vanish/>
          <w:color w:val="000000"/>
          <w:kern w:val="0"/>
          <w:sz w:val="16"/>
          <w:szCs w:val="16"/>
          <w:vertAlign w:val="superscript"/>
          <w:lang w:val="en"/>
        </w:rPr>
        <w:t>1</w:t>
      </w:r>
      <w:r w:rsidRPr="006E7818">
        <w:rPr>
          <w:rFonts w:ascii="Arial" w:eastAsia="SimSun" w:hAnsi="Arial" w:cs="Arial"/>
          <w:vanish/>
          <w:color w:val="000000"/>
          <w:kern w:val="0"/>
          <w:sz w:val="16"/>
          <w:szCs w:val="16"/>
          <w:lang w:val="en"/>
        </w:rPr>
        <w:t>Department of Dermatology, Perelman School of Medicine, University of Pennsylvania, Philadelphia, Pennsylvania</w:t>
      </w:r>
    </w:p>
    <w:p w:rsidR="006E7818" w:rsidRPr="006E7818" w:rsidRDefault="006E7818" w:rsidP="006E7818">
      <w:pPr>
        <w:widowControl/>
        <w:shd w:val="clear" w:color="auto" w:fill="FFFFFF"/>
        <w:jc w:val="left"/>
        <w:rPr>
          <w:rFonts w:ascii="Arial" w:eastAsia="SimSun" w:hAnsi="Arial" w:cs="Arial"/>
          <w:vanish/>
          <w:color w:val="000000"/>
          <w:kern w:val="0"/>
          <w:sz w:val="16"/>
          <w:szCs w:val="16"/>
          <w:lang w:val="en"/>
        </w:rPr>
      </w:pPr>
      <w:r w:rsidRPr="006E7818">
        <w:rPr>
          <w:rFonts w:ascii="Arial" w:eastAsia="SimSun" w:hAnsi="Arial" w:cs="Arial"/>
          <w:vanish/>
          <w:color w:val="000000"/>
          <w:kern w:val="0"/>
          <w:sz w:val="16"/>
          <w:szCs w:val="16"/>
          <w:vertAlign w:val="superscript"/>
          <w:lang w:val="en"/>
        </w:rPr>
        <w:t>2</w:t>
      </w:r>
      <w:r w:rsidRPr="006E7818">
        <w:rPr>
          <w:rFonts w:ascii="Arial" w:eastAsia="SimSun" w:hAnsi="Arial" w:cs="Arial"/>
          <w:vanish/>
          <w:color w:val="000000"/>
          <w:kern w:val="0"/>
          <w:sz w:val="16"/>
          <w:szCs w:val="16"/>
          <w:lang w:val="en"/>
        </w:rPr>
        <w:t>Department of Biostatistics and Epidemiology, Perelman School of Medicine, University of Pennsylvania, Philadelphia, Pennsylvania</w:t>
      </w:r>
    </w:p>
    <w:p w:rsidR="006E7818" w:rsidRPr="006E7818" w:rsidRDefault="006E7818" w:rsidP="006E7818">
      <w:pPr>
        <w:widowControl/>
        <w:shd w:val="clear" w:color="auto" w:fill="FFFFFF"/>
        <w:jc w:val="left"/>
        <w:rPr>
          <w:rFonts w:ascii="Arial" w:eastAsia="SimSun" w:hAnsi="Arial" w:cs="Arial"/>
          <w:vanish/>
          <w:color w:val="000000"/>
          <w:kern w:val="0"/>
          <w:sz w:val="16"/>
          <w:szCs w:val="16"/>
          <w:lang w:val="en"/>
        </w:rPr>
      </w:pPr>
      <w:r w:rsidRPr="006E7818">
        <w:rPr>
          <w:rFonts w:ascii="Arial" w:eastAsia="SimSun" w:hAnsi="Arial" w:cs="Arial"/>
          <w:vanish/>
          <w:color w:val="000000"/>
          <w:kern w:val="0"/>
          <w:sz w:val="16"/>
          <w:szCs w:val="16"/>
          <w:vertAlign w:val="superscript"/>
          <w:lang w:val="en"/>
        </w:rPr>
        <w:t>3</w:t>
      </w:r>
      <w:r w:rsidRPr="006E7818">
        <w:rPr>
          <w:rFonts w:ascii="Arial" w:eastAsia="SimSun" w:hAnsi="Arial" w:cs="Arial"/>
          <w:vanish/>
          <w:color w:val="000000"/>
          <w:kern w:val="0"/>
          <w:sz w:val="16"/>
          <w:szCs w:val="16"/>
          <w:lang w:val="en"/>
        </w:rPr>
        <w:t>Department of Medicine, Perelman School of Medicine, University of Pennsylvania, Philadelphia, Pennsylvania</w:t>
      </w:r>
    </w:p>
    <w:p w:rsidR="006E7818" w:rsidRPr="006E7818" w:rsidRDefault="006E7818" w:rsidP="006E7818">
      <w:pPr>
        <w:widowControl/>
        <w:shd w:val="clear" w:color="auto" w:fill="FFFFFF"/>
        <w:jc w:val="left"/>
        <w:rPr>
          <w:rFonts w:ascii="Arial" w:eastAsia="SimSun" w:hAnsi="Arial" w:cs="Arial"/>
          <w:vanish/>
          <w:color w:val="000000"/>
          <w:kern w:val="0"/>
          <w:sz w:val="16"/>
          <w:szCs w:val="16"/>
          <w:lang w:val="en"/>
        </w:rPr>
      </w:pPr>
      <w:r w:rsidRPr="006E7818">
        <w:rPr>
          <w:rFonts w:ascii="Arial" w:eastAsia="SimSun" w:hAnsi="Arial" w:cs="Arial"/>
          <w:vanish/>
          <w:color w:val="000000"/>
          <w:kern w:val="0"/>
          <w:sz w:val="16"/>
          <w:szCs w:val="16"/>
          <w:vertAlign w:val="superscript"/>
          <w:lang w:val="en"/>
        </w:rPr>
        <w:t>4</w:t>
      </w:r>
      <w:r w:rsidRPr="006E7818">
        <w:rPr>
          <w:rFonts w:ascii="Arial" w:eastAsia="SimSun" w:hAnsi="Arial" w:cs="Arial"/>
          <w:vanish/>
          <w:color w:val="000000"/>
          <w:kern w:val="0"/>
          <w:sz w:val="16"/>
          <w:szCs w:val="16"/>
          <w:lang w:val="en"/>
        </w:rPr>
        <w:t>Department of Emergency Medicine, Perelman School of Medicine, University of Pennsylvania, Philadelphia, Pennsylvania</w:t>
      </w:r>
    </w:p>
    <w:p w:rsidR="006E7818" w:rsidRPr="006E7818" w:rsidRDefault="006E7818" w:rsidP="006E7818">
      <w:pPr>
        <w:widowControl/>
        <w:shd w:val="clear" w:color="auto" w:fill="FFFFFF"/>
        <w:jc w:val="left"/>
        <w:rPr>
          <w:rFonts w:ascii="Arial" w:eastAsia="SimSun" w:hAnsi="Arial" w:cs="Arial"/>
          <w:color w:val="000000"/>
          <w:kern w:val="0"/>
          <w:sz w:val="16"/>
          <w:szCs w:val="16"/>
        </w:rPr>
      </w:pPr>
      <w:r w:rsidRPr="006E7818">
        <w:rPr>
          <w:rFonts w:ascii="Arial" w:eastAsia="SimSun" w:hAnsi="Arial" w:cs="Arial"/>
          <w:color w:val="000000"/>
          <w:kern w:val="0"/>
          <w:sz w:val="16"/>
          <w:szCs w:val="16"/>
        </w:rPr>
        <w:t>Corresponding author: David J. Margolis,</w:t>
      </w:r>
      <w:r>
        <w:t xml:space="preserve"> </w:t>
      </w:r>
      <w:hyperlink r:id="rId11" w:history="1">
        <w:r w:rsidRPr="00FE27E7">
          <w:rPr>
            <w:rStyle w:val="Hyperlink"/>
          </w:rPr>
          <w:t>margo@mail.med.upenn.edu</w:t>
        </w:r>
      </w:hyperlink>
      <w:r>
        <w:t xml:space="preserve"> </w:t>
      </w:r>
    </w:p>
    <w:p w:rsidR="00B05A92" w:rsidRPr="00B05A92" w:rsidRDefault="00B05A92" w:rsidP="00B05A92">
      <w:pPr>
        <w:widowControl/>
        <w:shd w:val="clear" w:color="auto" w:fill="FFF4CE"/>
        <w:spacing w:line="393" w:lineRule="atLeast"/>
        <w:jc w:val="left"/>
        <w:rPr>
          <w:rFonts w:ascii="Arial" w:eastAsia="SimSun" w:hAnsi="Arial" w:cs="Arial"/>
          <w:color w:val="000000"/>
          <w:kern w:val="0"/>
          <w:sz w:val="16"/>
          <w:szCs w:val="16"/>
        </w:rPr>
      </w:pPr>
      <w:r w:rsidRPr="00B05A92">
        <w:rPr>
          <w:rFonts w:ascii="Arial" w:eastAsia="SimSun" w:hAnsi="Arial" w:cs="Arial"/>
          <w:color w:val="000000"/>
          <w:kern w:val="0"/>
          <w:sz w:val="16"/>
          <w:szCs w:val="16"/>
        </w:rPr>
        <w:t>This article has been </w:t>
      </w:r>
      <w:hyperlink r:id="rId12" w:history="1">
        <w:r w:rsidRPr="00B05A92">
          <w:rPr>
            <w:rFonts w:ascii="Arial" w:eastAsia="SimSun" w:hAnsi="Arial" w:cs="Arial"/>
            <w:color w:val="642A8F"/>
            <w:kern w:val="0"/>
            <w:sz w:val="16"/>
            <w:szCs w:val="16"/>
            <w:u w:val="single"/>
          </w:rPr>
          <w:t>cited by</w:t>
        </w:r>
      </w:hyperlink>
      <w:r w:rsidRPr="00B05A92">
        <w:rPr>
          <w:rFonts w:ascii="Arial" w:eastAsia="SimSun" w:hAnsi="Arial" w:cs="Arial"/>
          <w:color w:val="000000"/>
          <w:kern w:val="0"/>
          <w:sz w:val="16"/>
          <w:szCs w:val="16"/>
        </w:rPr>
        <w:t> other articles in PMC.</w:t>
      </w:r>
    </w:p>
    <w:p w:rsidR="00B05A92" w:rsidRPr="00B05A92" w:rsidRDefault="00B05A92" w:rsidP="00B05A92">
      <w:pPr>
        <w:widowControl/>
        <w:jc w:val="right"/>
        <w:rPr>
          <w:rFonts w:ascii="Arial" w:eastAsia="SimSun" w:hAnsi="Arial" w:cs="Arial"/>
          <w:vanish/>
          <w:color w:val="000000"/>
          <w:kern w:val="0"/>
          <w:sz w:val="24"/>
          <w:szCs w:val="24"/>
          <w:lang w:val="en"/>
        </w:rPr>
      </w:pPr>
      <w:hyperlink r:id="rId13" w:tooltip="Go to other sections in this page" w:history="1">
        <w:r w:rsidRPr="00B05A92">
          <w:rPr>
            <w:rFonts w:ascii="Arial" w:eastAsia="SimSun" w:hAnsi="Arial" w:cs="Arial"/>
            <w:vanish/>
            <w:color w:val="642A8F"/>
            <w:kern w:val="0"/>
            <w:sz w:val="24"/>
            <w:szCs w:val="24"/>
            <w:u w:val="single"/>
            <w:lang w:val="en"/>
          </w:rPr>
          <w:t>Go to:</w:t>
        </w:r>
      </w:hyperlink>
    </w:p>
    <w:p w:rsidR="00B05A92" w:rsidRPr="00B05A92" w:rsidRDefault="00B05A92" w:rsidP="00B05A92">
      <w:pPr>
        <w:widowControl/>
        <w:pBdr>
          <w:bottom w:val="single" w:sz="6" w:space="0" w:color="97B0C8"/>
        </w:pBdr>
        <w:spacing w:before="270" w:line="267" w:lineRule="atLeast"/>
        <w:jc w:val="left"/>
        <w:outlineLvl w:val="1"/>
        <w:rPr>
          <w:rFonts w:ascii="Arial" w:eastAsia="SimSun" w:hAnsi="Arial" w:cs="Arial"/>
          <w:b/>
          <w:bCs/>
          <w:color w:val="985735"/>
          <w:kern w:val="0"/>
          <w:sz w:val="27"/>
          <w:szCs w:val="27"/>
          <w:lang w:val="en"/>
        </w:rPr>
      </w:pPr>
      <w:r w:rsidRPr="00B05A92">
        <w:rPr>
          <w:rFonts w:ascii="Arial" w:eastAsia="SimSun" w:hAnsi="Arial" w:cs="Arial"/>
          <w:b/>
          <w:bCs/>
          <w:color w:val="985735"/>
          <w:kern w:val="0"/>
          <w:sz w:val="27"/>
          <w:szCs w:val="27"/>
          <w:lang w:val="en"/>
        </w:rPr>
        <w:t>Abstract</w:t>
      </w:r>
    </w:p>
    <w:p w:rsidR="00B05A92" w:rsidRPr="00B05A92" w:rsidRDefault="00B05A92" w:rsidP="00B05A92">
      <w:pPr>
        <w:widowControl/>
        <w:spacing w:before="308" w:after="154" w:line="300" w:lineRule="atLeast"/>
        <w:jc w:val="left"/>
        <w:outlineLvl w:val="2"/>
        <w:rPr>
          <w:rFonts w:ascii="Arial" w:eastAsia="SimSun" w:hAnsi="Arial" w:cs="Arial"/>
          <w:b/>
          <w:bCs/>
          <w:vanish/>
          <w:color w:val="724128"/>
          <w:kern w:val="0"/>
          <w:sz w:val="24"/>
          <w:szCs w:val="24"/>
          <w:lang w:val="en"/>
        </w:rPr>
      </w:pPr>
      <w:r w:rsidRPr="00B05A92">
        <w:rPr>
          <w:rFonts w:ascii="Arial" w:eastAsia="SimSun" w:hAnsi="Arial" w:cs="Arial"/>
          <w:b/>
          <w:bCs/>
          <w:vanish/>
          <w:color w:val="724128"/>
          <w:kern w:val="0"/>
          <w:sz w:val="24"/>
          <w:szCs w:val="24"/>
          <w:lang w:val="en"/>
        </w:rPr>
        <w:t>OBJECTIVE</w:t>
      </w:r>
    </w:p>
    <w:p w:rsidR="00B05A92" w:rsidRPr="00B05A92" w:rsidRDefault="00B05A92" w:rsidP="00B05A92">
      <w:pPr>
        <w:widowControl/>
        <w:spacing w:before="166" w:after="166"/>
        <w:jc w:val="left"/>
        <w:rPr>
          <w:rFonts w:ascii="Times New Roman" w:eastAsia="SimSun" w:hAnsi="Times New Roman" w:cs="Times New Roman"/>
          <w:vanish/>
          <w:color w:val="000000"/>
          <w:kern w:val="0"/>
          <w:sz w:val="24"/>
          <w:szCs w:val="24"/>
          <w:lang w:val="en"/>
        </w:rPr>
      </w:pPr>
      <w:r w:rsidRPr="00B05A92">
        <w:rPr>
          <w:rFonts w:ascii="Times New Roman" w:eastAsia="SimSun" w:hAnsi="Times New Roman" w:cs="Times New Roman"/>
          <w:vanish/>
          <w:color w:val="000000"/>
          <w:kern w:val="0"/>
          <w:sz w:val="24"/>
          <w:szCs w:val="24"/>
          <w:lang w:val="en"/>
        </w:rPr>
        <w:t>Hyperbaric oxygen (HBO) is a device that is used to treat foot ulcers. The study goal was to compare the effectiveness of HBO with other conventional therapies administered in a wound care network for the treatment of a diabetic foot ulcer and prevention of lower-extremity amputation.</w:t>
      </w:r>
    </w:p>
    <w:p w:rsidR="00B05A92" w:rsidRPr="00B05A92" w:rsidRDefault="00B05A92" w:rsidP="00B05A92">
      <w:pPr>
        <w:widowControl/>
        <w:spacing w:before="308" w:after="154" w:line="300" w:lineRule="atLeast"/>
        <w:jc w:val="left"/>
        <w:outlineLvl w:val="2"/>
        <w:rPr>
          <w:rFonts w:ascii="Arial" w:eastAsia="SimSun" w:hAnsi="Arial" w:cs="Arial"/>
          <w:b/>
          <w:bCs/>
          <w:vanish/>
          <w:color w:val="724128"/>
          <w:kern w:val="0"/>
          <w:sz w:val="24"/>
          <w:szCs w:val="24"/>
          <w:lang w:val="en"/>
        </w:rPr>
      </w:pPr>
      <w:r w:rsidRPr="00B05A92">
        <w:rPr>
          <w:rFonts w:ascii="Arial" w:eastAsia="SimSun" w:hAnsi="Arial" w:cs="Arial"/>
          <w:b/>
          <w:bCs/>
          <w:vanish/>
          <w:color w:val="724128"/>
          <w:kern w:val="0"/>
          <w:sz w:val="24"/>
          <w:szCs w:val="24"/>
          <w:lang w:val="en"/>
        </w:rPr>
        <w:t>RESEARCH DESIGN AND METHODS</w:t>
      </w:r>
    </w:p>
    <w:p w:rsidR="00B05A92" w:rsidRPr="00B05A92" w:rsidRDefault="00B05A92" w:rsidP="00B05A92">
      <w:pPr>
        <w:widowControl/>
        <w:spacing w:before="166" w:after="166"/>
        <w:jc w:val="left"/>
        <w:rPr>
          <w:rFonts w:ascii="Times New Roman" w:eastAsia="SimSun" w:hAnsi="Times New Roman" w:cs="Times New Roman"/>
          <w:vanish/>
          <w:color w:val="000000"/>
          <w:kern w:val="0"/>
          <w:sz w:val="24"/>
          <w:szCs w:val="24"/>
          <w:lang w:val="en"/>
        </w:rPr>
      </w:pPr>
      <w:r w:rsidRPr="00B05A92">
        <w:rPr>
          <w:rFonts w:ascii="Times New Roman" w:eastAsia="SimSun" w:hAnsi="Times New Roman" w:cs="Times New Roman"/>
          <w:vanish/>
          <w:color w:val="000000"/>
          <w:kern w:val="0"/>
          <w:sz w:val="24"/>
          <w:szCs w:val="24"/>
          <w:lang w:val="en"/>
        </w:rPr>
        <w:t>This was a longitudinal observational cohort study. To address treatment selection bias, we used propensity scores to determine the “propensity” that an individual was selected to receive HBO.</w:t>
      </w:r>
    </w:p>
    <w:p w:rsidR="00B05A92" w:rsidRPr="00B05A92" w:rsidRDefault="00B05A92" w:rsidP="00B05A92">
      <w:pPr>
        <w:widowControl/>
        <w:spacing w:before="308" w:after="154" w:line="300" w:lineRule="atLeast"/>
        <w:jc w:val="left"/>
        <w:outlineLvl w:val="2"/>
        <w:rPr>
          <w:rFonts w:ascii="Arial" w:eastAsia="SimSun" w:hAnsi="Arial" w:cs="Arial"/>
          <w:b/>
          <w:bCs/>
          <w:vanish/>
          <w:color w:val="724128"/>
          <w:kern w:val="0"/>
          <w:sz w:val="24"/>
          <w:szCs w:val="24"/>
          <w:lang w:val="en"/>
        </w:rPr>
      </w:pPr>
      <w:r w:rsidRPr="00B05A92">
        <w:rPr>
          <w:rFonts w:ascii="Arial" w:eastAsia="SimSun" w:hAnsi="Arial" w:cs="Arial"/>
          <w:b/>
          <w:bCs/>
          <w:vanish/>
          <w:color w:val="724128"/>
          <w:kern w:val="0"/>
          <w:sz w:val="24"/>
          <w:szCs w:val="24"/>
          <w:lang w:val="en"/>
        </w:rPr>
        <w:t>RESULTS</w:t>
      </w:r>
    </w:p>
    <w:p w:rsidR="00B05A92" w:rsidRPr="00B05A92" w:rsidRDefault="00B05A92" w:rsidP="00B05A92">
      <w:pPr>
        <w:widowControl/>
        <w:spacing w:before="166" w:after="166"/>
        <w:jc w:val="left"/>
        <w:rPr>
          <w:rFonts w:ascii="Times New Roman" w:eastAsia="SimSun" w:hAnsi="Times New Roman" w:cs="Times New Roman"/>
          <w:vanish/>
          <w:color w:val="000000"/>
          <w:kern w:val="0"/>
          <w:sz w:val="24"/>
          <w:szCs w:val="24"/>
          <w:lang w:val="en"/>
        </w:rPr>
      </w:pPr>
      <w:r w:rsidRPr="00B05A92">
        <w:rPr>
          <w:rFonts w:ascii="Times New Roman" w:eastAsia="SimSun" w:hAnsi="Times New Roman" w:cs="Times New Roman"/>
          <w:vanish/>
          <w:color w:val="000000"/>
          <w:kern w:val="0"/>
          <w:sz w:val="24"/>
          <w:szCs w:val="24"/>
          <w:lang w:val="en"/>
        </w:rPr>
        <w:t xml:space="preserve">We studied 6,259 individuals with diabetes, adequate lower limb arterial perfusion, and foot ulcer extending through the dermis, representing 767,060 person-days of wound care. In the propensity score–adjusted models, individuals receiving HBO were less likely to have healing of their foot ulcer (hazard ratio 0.68 [95% CI 0.63–0.73]) and more likely to have an amputation (2.37 [1.84–3.04]). Additional analyses, including the use of an instrumental variable, were conducted to assess the </w:t>
      </w:r>
      <w:r w:rsidRPr="00B05A92">
        <w:rPr>
          <w:rFonts w:ascii="Times New Roman" w:eastAsia="SimSun" w:hAnsi="Times New Roman" w:cs="Times New Roman"/>
          <w:vanish/>
          <w:color w:val="000000"/>
          <w:kern w:val="0"/>
          <w:sz w:val="24"/>
          <w:szCs w:val="24"/>
          <w:lang w:val="en"/>
        </w:rPr>
        <w:lastRenderedPageBreak/>
        <w:t>robustness of our results to unmeasured confounding. HBO was not found to improve the likelihood that a wound might heal or to decrease the likelihood of amputation in any of these analyses.</w:t>
      </w:r>
    </w:p>
    <w:p w:rsidR="00B05A92" w:rsidRPr="00B05A92" w:rsidRDefault="00B05A92" w:rsidP="00B05A92">
      <w:pPr>
        <w:widowControl/>
        <w:spacing w:before="308" w:after="154" w:line="300" w:lineRule="atLeast"/>
        <w:jc w:val="left"/>
        <w:outlineLvl w:val="2"/>
        <w:rPr>
          <w:rFonts w:ascii="Arial" w:eastAsia="SimSun" w:hAnsi="Arial" w:cs="Arial"/>
          <w:b/>
          <w:bCs/>
          <w:vanish/>
          <w:color w:val="724128"/>
          <w:kern w:val="0"/>
          <w:sz w:val="24"/>
          <w:szCs w:val="24"/>
          <w:lang w:val="en"/>
        </w:rPr>
      </w:pPr>
      <w:r w:rsidRPr="00B05A92">
        <w:rPr>
          <w:rFonts w:ascii="Arial" w:eastAsia="SimSun" w:hAnsi="Arial" w:cs="Arial"/>
          <w:b/>
          <w:bCs/>
          <w:vanish/>
          <w:color w:val="724128"/>
          <w:kern w:val="0"/>
          <w:sz w:val="24"/>
          <w:szCs w:val="24"/>
          <w:lang w:val="en"/>
        </w:rPr>
        <w:t>CONCLUSIONS</w:t>
      </w:r>
    </w:p>
    <w:p w:rsidR="00B05A92" w:rsidRPr="00B05A92" w:rsidRDefault="00B05A92" w:rsidP="00B05A92">
      <w:pPr>
        <w:widowControl/>
        <w:spacing w:before="166" w:after="166"/>
        <w:jc w:val="left"/>
        <w:rPr>
          <w:rFonts w:ascii="Times New Roman" w:eastAsia="SimSun" w:hAnsi="Times New Roman" w:cs="Times New Roman"/>
          <w:vanish/>
          <w:color w:val="000000"/>
          <w:kern w:val="0"/>
          <w:sz w:val="24"/>
          <w:szCs w:val="24"/>
          <w:lang w:val="en"/>
        </w:rPr>
      </w:pPr>
      <w:r w:rsidRPr="00B05A92">
        <w:rPr>
          <w:rFonts w:ascii="Times New Roman" w:eastAsia="SimSun" w:hAnsi="Times New Roman" w:cs="Times New Roman"/>
          <w:vanish/>
          <w:color w:val="000000"/>
          <w:kern w:val="0"/>
          <w:sz w:val="24"/>
          <w:szCs w:val="24"/>
          <w:lang w:val="en"/>
        </w:rPr>
        <w:t>Use of HBO neither improved the likelihood that a wound would heal nor prevented amputation in a cohort of patients defined by Centers for Medicare and Medicaid Services eligibility criteria. The usefulness of HBO in the treatment of diabetic foot ulcers needs to be reevaluated.</w:t>
      </w:r>
    </w:p>
    <w:p w:rsidR="00B05A92" w:rsidRPr="00B05A92" w:rsidRDefault="00B05A92" w:rsidP="00B05A92">
      <w:pPr>
        <w:widowControl/>
        <w:spacing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Hyperbaric oxygen (HBO) therapy is used to treat foot ulcers that have not responded to initial care and thereby to prevent lower-extremity amputations (LEAs), both of which are complications of diabetes. HBO requires the exposure of a patient to 100% oxygen at a pressure two to three times greater than ambient atmospheric pressure (</w:t>
      </w:r>
      <w:hyperlink r:id="rId14" w:anchor="B1" w:history="1">
        <w:r w:rsidRPr="00B05A92">
          <w:rPr>
            <w:rFonts w:ascii="Times New Roman" w:eastAsia="SimSun" w:hAnsi="Times New Roman" w:cs="Times New Roman"/>
            <w:color w:val="642A8F"/>
            <w:kern w:val="0"/>
            <w:sz w:val="24"/>
            <w:szCs w:val="24"/>
            <w:u w:val="single"/>
          </w:rPr>
          <w:t>1</w:t>
        </w:r>
      </w:hyperlink>
      <w:r w:rsidRPr="00B05A92">
        <w:rPr>
          <w:rFonts w:ascii="Times New Roman" w:eastAsia="SimSun" w:hAnsi="Times New Roman" w:cs="Times New Roman"/>
          <w:color w:val="000000"/>
          <w:kern w:val="0"/>
          <w:sz w:val="24"/>
          <w:szCs w:val="24"/>
        </w:rPr>
        <w:t>). The efficacy of HBO as a treatment for lower-extremity ulcerations has been supported by several small randomized trials; its use also has been advocated by a number of review articles (</w:t>
      </w:r>
      <w:hyperlink r:id="rId15" w:anchor="B2" w:history="1">
        <w:r w:rsidRPr="00B05A92">
          <w:rPr>
            <w:rFonts w:ascii="Times New Roman" w:eastAsia="SimSun" w:hAnsi="Times New Roman" w:cs="Times New Roman"/>
            <w:color w:val="642A8F"/>
            <w:kern w:val="0"/>
            <w:sz w:val="24"/>
            <w:szCs w:val="24"/>
            <w:u w:val="single"/>
          </w:rPr>
          <w:t>2</w:t>
        </w:r>
      </w:hyperlink>
      <w:r w:rsidRPr="00B05A92">
        <w:rPr>
          <w:rFonts w:ascii="Times New Roman" w:eastAsia="SimSun" w:hAnsi="Times New Roman" w:cs="Times New Roman"/>
          <w:color w:val="000000"/>
          <w:kern w:val="0"/>
          <w:sz w:val="24"/>
          <w:szCs w:val="24"/>
        </w:rPr>
        <w:t>–</w:t>
      </w:r>
      <w:hyperlink r:id="rId16" w:anchor="B7" w:history="1">
        <w:r w:rsidRPr="00B05A92">
          <w:rPr>
            <w:rFonts w:ascii="Times New Roman" w:eastAsia="SimSun" w:hAnsi="Times New Roman" w:cs="Times New Roman"/>
            <w:color w:val="642A8F"/>
            <w:kern w:val="0"/>
            <w:sz w:val="24"/>
            <w:szCs w:val="24"/>
            <w:u w:val="single"/>
          </w:rPr>
          <w:t>7</w:t>
        </w:r>
      </w:hyperlink>
      <w:r w:rsidRPr="00B05A92">
        <w:rPr>
          <w:rFonts w:ascii="Times New Roman" w:eastAsia="SimSun" w:hAnsi="Times New Roman" w:cs="Times New Roman"/>
          <w:color w:val="000000"/>
          <w:kern w:val="0"/>
          <w:sz w:val="24"/>
          <w:szCs w:val="24"/>
        </w:rPr>
        <w:t>). However, a meta-analysis of these randomized trials did not find a long-term statistically significant improvement associated with HBO therapy and concluded that the overall quality of the reviewed studies was poor (</w:t>
      </w:r>
      <w:hyperlink r:id="rId17"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Randomized controlled studies are efficacy studies in that they estimate the likelihood that a drug or device, like HBO, will work in an ideal setting. Effectiveness studies estimate the likelihood that a drug or device will work in the “real world.” Effectiveness studies can be difficult to conduct in that the design constraints of a randomized trial create a nonreal-world setting; therefore, frequently, effectiveness is assessed using cohort studies. The propensity score (PS) technique was first described </w:t>
      </w:r>
      <w:r w:rsidRPr="00B05A92">
        <w:rPr>
          <w:rFonts w:ascii="Cambria Math" w:eastAsia="SimSun" w:hAnsi="Cambria Math" w:cs="Cambria Math"/>
          <w:color w:val="000000"/>
          <w:kern w:val="0"/>
          <w:sz w:val="24"/>
          <w:szCs w:val="24"/>
        </w:rPr>
        <w:t>∼</w:t>
      </w:r>
      <w:r w:rsidRPr="00B05A92">
        <w:rPr>
          <w:rFonts w:ascii="Times New Roman" w:eastAsia="SimSun" w:hAnsi="Times New Roman" w:cs="Times New Roman"/>
          <w:color w:val="000000"/>
          <w:kern w:val="0"/>
          <w:sz w:val="24"/>
          <w:szCs w:val="24"/>
        </w:rPr>
        <w:t>30 years ago (</w:t>
      </w:r>
      <w:hyperlink r:id="rId18" w:anchor="B9" w:history="1">
        <w:r w:rsidRPr="00B05A92">
          <w:rPr>
            <w:rFonts w:ascii="Times New Roman" w:eastAsia="SimSun" w:hAnsi="Times New Roman" w:cs="Times New Roman"/>
            <w:color w:val="642A8F"/>
            <w:kern w:val="0"/>
            <w:sz w:val="24"/>
            <w:szCs w:val="24"/>
            <w:u w:val="single"/>
          </w:rPr>
          <w:t>9</w:t>
        </w:r>
      </w:hyperlink>
      <w:r w:rsidRPr="00B05A92">
        <w:rPr>
          <w:rFonts w:ascii="Times New Roman" w:eastAsia="SimSun" w:hAnsi="Times New Roman" w:cs="Times New Roman"/>
          <w:color w:val="000000"/>
          <w:kern w:val="0"/>
          <w:sz w:val="24"/>
          <w:szCs w:val="24"/>
        </w:rPr>
        <w:t>). The goal of this technique is to statistically control variables that might influence the selection of a therapy and thus to mimic the “even” distribution of variables seen in a randomized controlled study.</w:t>
      </w:r>
    </w:p>
    <w:p w:rsidR="00B05A92" w:rsidRPr="00B05A92" w:rsidRDefault="00B05A92" w:rsidP="00B05A92">
      <w:pPr>
        <w:widowControl/>
        <w:spacing w:before="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We compared the effectiveness of HBO with other therapies administered without HBO in a wound care network. We used PS approaches to compensate for the lack of randomized treatment assignment as well an instrumental variable analysis (</w:t>
      </w:r>
      <w:hyperlink r:id="rId19" w:tgtFrame="pmc_ext" w:history="1">
        <w:r w:rsidRPr="00B05A92">
          <w:rPr>
            <w:rFonts w:ascii="Times New Roman" w:eastAsia="SimSun" w:hAnsi="Times New Roman" w:cs="Times New Roman"/>
            <w:color w:val="642A8F"/>
            <w:kern w:val="0"/>
            <w:sz w:val="24"/>
            <w:szCs w:val="24"/>
            <w:u w:val="single"/>
          </w:rPr>
          <w:t>Supplementary Data</w:t>
        </w:r>
      </w:hyperlink>
      <w:r w:rsidRPr="00B05A92">
        <w:rPr>
          <w:rFonts w:ascii="Times New Roman" w:eastAsia="SimSun" w:hAnsi="Times New Roman" w:cs="Times New Roman"/>
          <w:color w:val="000000"/>
          <w:kern w:val="0"/>
          <w:sz w:val="24"/>
          <w:szCs w:val="24"/>
        </w:rPr>
        <w:t>) to confirm our findings.</w:t>
      </w:r>
    </w:p>
    <w:p w:rsidR="00B05A92" w:rsidRPr="00B05A92" w:rsidRDefault="00B05A92" w:rsidP="00B05A92">
      <w:pPr>
        <w:widowControl/>
        <w:jc w:val="right"/>
        <w:rPr>
          <w:rFonts w:ascii="Arial" w:eastAsia="SimSun" w:hAnsi="Arial" w:cs="Arial"/>
          <w:color w:val="000000"/>
          <w:kern w:val="0"/>
          <w:sz w:val="24"/>
          <w:szCs w:val="24"/>
        </w:rPr>
      </w:pPr>
      <w:hyperlink r:id="rId20" w:tooltip="Go to other sections in this page" w:history="1">
        <w:r w:rsidRPr="00B05A92">
          <w:rPr>
            <w:rFonts w:ascii="Arial" w:eastAsia="SimSun" w:hAnsi="Arial" w:cs="Arial"/>
            <w:color w:val="642A8F"/>
            <w:kern w:val="0"/>
            <w:sz w:val="24"/>
            <w:szCs w:val="24"/>
            <w:u w:val="single"/>
          </w:rPr>
          <w:t>Go to:</w:t>
        </w:r>
      </w:hyperlink>
    </w:p>
    <w:p w:rsidR="00B05A92" w:rsidRPr="00B05A92" w:rsidRDefault="00B05A92" w:rsidP="00B05A92">
      <w:pPr>
        <w:widowControl/>
        <w:pBdr>
          <w:bottom w:val="single" w:sz="6" w:space="0" w:color="97B0C8"/>
        </w:pBdr>
        <w:spacing w:before="270" w:line="267" w:lineRule="atLeast"/>
        <w:jc w:val="left"/>
        <w:outlineLvl w:val="1"/>
        <w:rPr>
          <w:rFonts w:ascii="Arial" w:eastAsia="SimSun" w:hAnsi="Arial" w:cs="Arial"/>
          <w:b/>
          <w:bCs/>
          <w:color w:val="985735"/>
          <w:kern w:val="0"/>
          <w:sz w:val="27"/>
          <w:szCs w:val="27"/>
        </w:rPr>
      </w:pPr>
      <w:r w:rsidRPr="00B05A92">
        <w:rPr>
          <w:rFonts w:ascii="Arial" w:eastAsia="SimSun" w:hAnsi="Arial" w:cs="Arial"/>
          <w:b/>
          <w:bCs/>
          <w:color w:val="985735"/>
          <w:kern w:val="0"/>
          <w:sz w:val="27"/>
          <w:szCs w:val="27"/>
        </w:rPr>
        <w:t>RESEARCH DESIGN AND METHODS</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Longitudinal observational data from the National Healing Corporation (NHC) were used. The study was reviewed and approved by the Institutional Review Board of the University of Pennsylvania. Our presentation is consistent with the STROBE statement for cohort studies.</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Population</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NHC is a company that provided comprehensive wound care management solutions to local wound care centers across the United States. NHC developed clinical pathways to guide treatment based on reviews of best practice and guidelines on proper diagnosis and medical care (e.g., debridement, good wound care, and off-loading) that were taught to the local wound care providers. HBO was one of the </w:t>
      </w:r>
      <w:r w:rsidRPr="00B05A92">
        <w:rPr>
          <w:rFonts w:ascii="Times New Roman" w:eastAsia="SimSun" w:hAnsi="Times New Roman" w:cs="Times New Roman"/>
          <w:color w:val="000000"/>
          <w:kern w:val="0"/>
          <w:sz w:val="24"/>
          <w:szCs w:val="24"/>
        </w:rPr>
        <w:lastRenderedPageBreak/>
        <w:t>therapies used in their centers. NHC maintained a database that included both administrative and clinical information.</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Subjects were included in the study if they were treated at an NHC center between November 2005 and May 2011, and if the local wound care center had contractually agreed to provide data for research, resulting in 83 centers located in 31 states being available for study. All subjects in these centers were evaluated for eligibility. To be eligible, subjects must have had diabetes, adequate lower-extremity arterial flow (as determined by the clinician), and a wound on their plantar foot (hindfoot [heel], midfoot, or forefoot [toes]). All subjects must have experienced failure to heal during the first 4 weeks of wound center care </w:t>
      </w:r>
      <w:proofErr w:type="gramStart"/>
      <w:r w:rsidRPr="00B05A92">
        <w:rPr>
          <w:rFonts w:ascii="Times New Roman" w:eastAsia="SimSun" w:hAnsi="Times New Roman" w:cs="Times New Roman"/>
          <w:color w:val="000000"/>
          <w:kern w:val="0"/>
          <w:sz w:val="24"/>
          <w:szCs w:val="24"/>
        </w:rPr>
        <w:t>and also</w:t>
      </w:r>
      <w:proofErr w:type="gramEnd"/>
      <w:r w:rsidRPr="00B05A92">
        <w:rPr>
          <w:rFonts w:ascii="Times New Roman" w:eastAsia="SimSun" w:hAnsi="Times New Roman" w:cs="Times New Roman"/>
          <w:color w:val="000000"/>
          <w:kern w:val="0"/>
          <w:sz w:val="24"/>
          <w:szCs w:val="24"/>
        </w:rPr>
        <w:t xml:space="preserve"> to have experienced failure of decrease in their wound size by at least 40%. These inclusion criteria are consistent with the inclusion criteria of diabetic foot ulcer randomized clinical trials (RCTs) registered with the Food and Drug Administration and with the reimbursement guidelines from Centers for Medicare and Medicaid Services (CMS) (</w:t>
      </w:r>
      <w:hyperlink r:id="rId21" w:anchor="B10" w:history="1">
        <w:r w:rsidRPr="00B05A92">
          <w:rPr>
            <w:rFonts w:ascii="Times New Roman" w:eastAsia="SimSun" w:hAnsi="Times New Roman" w:cs="Times New Roman"/>
            <w:color w:val="642A8F"/>
            <w:kern w:val="0"/>
            <w:sz w:val="24"/>
            <w:szCs w:val="24"/>
            <w:u w:val="single"/>
          </w:rPr>
          <w:t>10</w:t>
        </w:r>
      </w:hyperlink>
      <w:r w:rsidRPr="00B05A92">
        <w:rPr>
          <w:rFonts w:ascii="Times New Roman" w:eastAsia="SimSun" w:hAnsi="Times New Roman" w:cs="Times New Roman"/>
          <w:color w:val="000000"/>
          <w:kern w:val="0"/>
          <w:sz w:val="24"/>
          <w:szCs w:val="24"/>
        </w:rPr>
        <w:t>–</w:t>
      </w:r>
      <w:hyperlink r:id="rId22" w:anchor="B12" w:history="1">
        <w:r w:rsidRPr="00B05A92">
          <w:rPr>
            <w:rFonts w:ascii="Times New Roman" w:eastAsia="SimSun" w:hAnsi="Times New Roman" w:cs="Times New Roman"/>
            <w:color w:val="642A8F"/>
            <w:kern w:val="0"/>
            <w:sz w:val="24"/>
            <w:szCs w:val="24"/>
            <w:u w:val="single"/>
          </w:rPr>
          <w:t>12</w:t>
        </w:r>
      </w:hyperlink>
      <w:r w:rsidRPr="00B05A92">
        <w:rPr>
          <w:rFonts w:ascii="Times New Roman" w:eastAsia="SimSun" w:hAnsi="Times New Roman" w:cs="Times New Roman"/>
          <w:color w:val="000000"/>
          <w:kern w:val="0"/>
          <w:sz w:val="24"/>
          <w:szCs w:val="24"/>
        </w:rPr>
        <w:t xml:space="preserve">). The CMS guidelines for HBO reimbursement suggest that patients should have type I or II diabetes, adequate lower limb arterial blood flow, a deep skin ulcer penetrating down to ligaments, muscle, or deeper with tissue infection (e.g., a Wagner wound grade of </w:t>
      </w:r>
      <w:r w:rsidRPr="00B05A92">
        <w:rPr>
          <w:rFonts w:ascii="Cambria Math" w:eastAsia="SimSun" w:hAnsi="Cambria Math" w:cs="Cambria Math"/>
          <w:color w:val="000000"/>
          <w:kern w:val="0"/>
          <w:sz w:val="24"/>
          <w:szCs w:val="24"/>
        </w:rPr>
        <w:t>∼</w:t>
      </w:r>
      <w:r w:rsidRPr="00B05A92">
        <w:rPr>
          <w:rFonts w:ascii="Times New Roman" w:eastAsia="SimSun" w:hAnsi="Times New Roman" w:cs="Times New Roman"/>
          <w:color w:val="000000"/>
          <w:kern w:val="0"/>
          <w:sz w:val="24"/>
          <w:szCs w:val="24"/>
        </w:rPr>
        <w:t>3), and a wound that has failed to heal despite a 30-day course of standard wound management. Similar criteria recently were approved by the National Health Insurance Program of Canada (</w:t>
      </w:r>
      <w:hyperlink r:id="rId23" w:anchor="B13" w:history="1">
        <w:r w:rsidRPr="00B05A92">
          <w:rPr>
            <w:rFonts w:ascii="Times New Roman" w:eastAsia="SimSun" w:hAnsi="Times New Roman" w:cs="Times New Roman"/>
            <w:color w:val="642A8F"/>
            <w:kern w:val="0"/>
            <w:sz w:val="24"/>
            <w:szCs w:val="24"/>
            <w:u w:val="single"/>
          </w:rPr>
          <w:t>13</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Validation</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To validate our ability to properly access individuals with diabetes who had adequate lower-extremity arterial flow and foot ulcers, we received personal identifier redacted copies of the electronic medical chart with photographs for two groups of patients: one selected for having diabetic </w:t>
      </w:r>
      <w:proofErr w:type="spellStart"/>
      <w:r w:rsidRPr="00B05A92">
        <w:rPr>
          <w:rFonts w:ascii="Times New Roman" w:eastAsia="SimSun" w:hAnsi="Times New Roman" w:cs="Times New Roman"/>
          <w:color w:val="000000"/>
          <w:kern w:val="0"/>
          <w:sz w:val="24"/>
          <w:szCs w:val="24"/>
        </w:rPr>
        <w:t>nonischemic</w:t>
      </w:r>
      <w:proofErr w:type="spellEnd"/>
      <w:r w:rsidRPr="00B05A92">
        <w:rPr>
          <w:rFonts w:ascii="Times New Roman" w:eastAsia="SimSun" w:hAnsi="Times New Roman" w:cs="Times New Roman"/>
          <w:color w:val="000000"/>
          <w:kern w:val="0"/>
          <w:sz w:val="24"/>
          <w:szCs w:val="24"/>
        </w:rPr>
        <w:t xml:space="preserve"> foot ulcers (our target population, </w:t>
      </w:r>
      <w:r w:rsidRPr="00B05A92">
        <w:rPr>
          <w:rFonts w:ascii="Times New Roman" w:eastAsia="SimSun" w:hAnsi="Times New Roman" w:cs="Times New Roman"/>
          <w:i/>
          <w:iCs/>
          <w:color w:val="000000"/>
          <w:kern w:val="0"/>
          <w:sz w:val="24"/>
          <w:szCs w:val="24"/>
        </w:rPr>
        <w:t>n</w:t>
      </w:r>
      <w:r w:rsidRPr="00B05A92">
        <w:rPr>
          <w:rFonts w:ascii="Times New Roman" w:eastAsia="SimSun" w:hAnsi="Times New Roman" w:cs="Times New Roman"/>
          <w:color w:val="000000"/>
          <w:kern w:val="0"/>
          <w:sz w:val="24"/>
          <w:szCs w:val="24"/>
        </w:rPr>
        <w:t xml:space="preserve"> = 100) and the other selected for having wounds of the lower extremity but not diabetic </w:t>
      </w:r>
      <w:proofErr w:type="spellStart"/>
      <w:r w:rsidRPr="00B05A92">
        <w:rPr>
          <w:rFonts w:ascii="Times New Roman" w:eastAsia="SimSun" w:hAnsi="Times New Roman" w:cs="Times New Roman"/>
          <w:color w:val="000000"/>
          <w:kern w:val="0"/>
          <w:sz w:val="24"/>
          <w:szCs w:val="24"/>
        </w:rPr>
        <w:t>nonischemic</w:t>
      </w:r>
      <w:proofErr w:type="spellEnd"/>
      <w:r w:rsidRPr="00B05A92">
        <w:rPr>
          <w:rFonts w:ascii="Times New Roman" w:eastAsia="SimSun" w:hAnsi="Times New Roman" w:cs="Times New Roman"/>
          <w:color w:val="000000"/>
          <w:kern w:val="0"/>
          <w:sz w:val="24"/>
          <w:szCs w:val="24"/>
        </w:rPr>
        <w:t xml:space="preserve"> foot ulcers (</w:t>
      </w:r>
      <w:r w:rsidRPr="00B05A92">
        <w:rPr>
          <w:rFonts w:ascii="Times New Roman" w:eastAsia="SimSun" w:hAnsi="Times New Roman" w:cs="Times New Roman"/>
          <w:i/>
          <w:iCs/>
          <w:color w:val="000000"/>
          <w:kern w:val="0"/>
          <w:sz w:val="24"/>
          <w:szCs w:val="24"/>
        </w:rPr>
        <w:t>n</w:t>
      </w:r>
      <w:r w:rsidRPr="00B05A92">
        <w:rPr>
          <w:rFonts w:ascii="Times New Roman" w:eastAsia="SimSun" w:hAnsi="Times New Roman" w:cs="Times New Roman"/>
          <w:color w:val="000000"/>
          <w:kern w:val="0"/>
          <w:sz w:val="24"/>
          <w:szCs w:val="24"/>
        </w:rPr>
        <w:t xml:space="preserve"> = 100). The NHC codes for an individual having a diabetic foot ulcer were based on a diagnosis of diabetes, diagnosis of arterial and venous disease (exclusionary codes), and the location of the wound (e.g., foot). However, those in the other lower-extremity wound group could not have the codes listed for diabetic foot ulcers but could have the exclusionary codes. All materials were reviewed by a single investigator (D.J.M.) who was blinded to the database classification of the subject. An individual was thought to have a diabetic </w:t>
      </w:r>
      <w:proofErr w:type="spellStart"/>
      <w:r w:rsidRPr="00B05A92">
        <w:rPr>
          <w:rFonts w:ascii="Times New Roman" w:eastAsia="SimSun" w:hAnsi="Times New Roman" w:cs="Times New Roman"/>
          <w:color w:val="000000"/>
          <w:kern w:val="0"/>
          <w:sz w:val="24"/>
          <w:szCs w:val="24"/>
        </w:rPr>
        <w:t>nonischemic</w:t>
      </w:r>
      <w:proofErr w:type="spellEnd"/>
      <w:r w:rsidRPr="00B05A92">
        <w:rPr>
          <w:rFonts w:ascii="Times New Roman" w:eastAsia="SimSun" w:hAnsi="Times New Roman" w:cs="Times New Roman"/>
          <w:color w:val="000000"/>
          <w:kern w:val="0"/>
          <w:sz w:val="24"/>
          <w:szCs w:val="24"/>
        </w:rPr>
        <w:t xml:space="preserve"> foot ulcer if chart review revealed the following: diagnosis of diabetes; no mention of lower limb ischemia or venous disease; and wound location on the plantar aspect of the foot that could be confirmed by a photograph. To compare database ascertainment with actual chart assessment, we calculated the positive and negative predictive values, as well as the sensitivity and specificity of the ascertainment method.</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Person-time</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The study time began 28 days after an eligible individual was first examined and enrolled in an NHC clinic. This “pretrial” follow-up period is part of most clinical trials to ensure that a wound is chronic and not healing. Outcomes and person-time did not include this 28-day prestart </w:t>
      </w:r>
      <w:proofErr w:type="gramStart"/>
      <w:r w:rsidRPr="00B05A92">
        <w:rPr>
          <w:rFonts w:ascii="Times New Roman" w:eastAsia="SimSun" w:hAnsi="Times New Roman" w:cs="Times New Roman"/>
          <w:color w:val="000000"/>
          <w:kern w:val="0"/>
          <w:sz w:val="24"/>
          <w:szCs w:val="24"/>
        </w:rPr>
        <w:t>time period</w:t>
      </w:r>
      <w:proofErr w:type="gramEnd"/>
      <w:r w:rsidRPr="00B05A92">
        <w:rPr>
          <w:rFonts w:ascii="Times New Roman" w:eastAsia="SimSun" w:hAnsi="Times New Roman" w:cs="Times New Roman"/>
          <w:color w:val="000000"/>
          <w:kern w:val="0"/>
          <w:sz w:val="24"/>
          <w:szCs w:val="24"/>
        </w:rPr>
        <w:t xml:space="preserve">. Person-time accrued until the subject had left the database, died, healed, had an amputation, or had been followed-up for 20 weeks since enrollment at the NHC center (i.e., 16 weeks after they were </w:t>
      </w:r>
      <w:r w:rsidRPr="00B05A92">
        <w:rPr>
          <w:rFonts w:ascii="Times New Roman" w:eastAsia="SimSun" w:hAnsi="Times New Roman" w:cs="Times New Roman"/>
          <w:color w:val="000000"/>
          <w:kern w:val="0"/>
          <w:sz w:val="24"/>
          <w:szCs w:val="24"/>
        </w:rPr>
        <w:lastRenderedPageBreak/>
        <w:t>enrolled in our study population). We previously have used this definition of person-time in a similarly designed study (</w:t>
      </w:r>
      <w:hyperlink r:id="rId24" w:anchor="B14" w:history="1">
        <w:r w:rsidRPr="00B05A92">
          <w:rPr>
            <w:rFonts w:ascii="Times New Roman" w:eastAsia="SimSun" w:hAnsi="Times New Roman" w:cs="Times New Roman"/>
            <w:color w:val="642A8F"/>
            <w:kern w:val="0"/>
            <w:sz w:val="24"/>
            <w:szCs w:val="24"/>
            <w:u w:val="single"/>
          </w:rPr>
          <w:t>14</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Outcome</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We studied two outcomes: healed wound (as determined by the local wound care provider based on a wound being fully epithelized and no longer requiring a bandage) and LEA. All outcomes were assessed 16 weeks after the subject became eligible for our study or 20 weeks after enrollment at an NHC center.</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Covariates</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Covariates included age, sex, wound duration at enrollment, wound size at enrollment, Wagner grade, number of wounds on the patient, wound location, history of neuropathy, history of wound recurrence, and history of osteomyelitis or abscess.</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Statistical analysis</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Descriptive statistics were generated for covariates and presented as percentages, means and standard deviations. Statistical tests for testing differences between groups or quintiles included χ</w:t>
      </w:r>
      <w:r w:rsidRPr="00B05A92">
        <w:rPr>
          <w:rFonts w:ascii="Times New Roman" w:eastAsia="SimSun" w:hAnsi="Times New Roman" w:cs="Times New Roman"/>
          <w:color w:val="000000"/>
          <w:kern w:val="0"/>
          <w:sz w:val="20"/>
          <w:szCs w:val="20"/>
          <w:vertAlign w:val="superscript"/>
        </w:rPr>
        <w:t>2</w:t>
      </w:r>
      <w:r w:rsidRPr="00B05A92">
        <w:rPr>
          <w:rFonts w:ascii="Times New Roman" w:eastAsia="SimSun" w:hAnsi="Times New Roman" w:cs="Times New Roman"/>
          <w:color w:val="000000"/>
          <w:kern w:val="0"/>
          <w:sz w:val="24"/>
          <w:szCs w:val="24"/>
        </w:rPr>
        <w:t> tests, </w:t>
      </w:r>
      <w:r w:rsidRPr="00B05A92">
        <w:rPr>
          <w:rFonts w:ascii="Times New Roman" w:eastAsia="SimSun" w:hAnsi="Times New Roman" w:cs="Times New Roman"/>
          <w:i/>
          <w:iCs/>
          <w:color w:val="000000"/>
          <w:kern w:val="0"/>
          <w:sz w:val="24"/>
          <w:szCs w:val="24"/>
        </w:rPr>
        <w:t>t</w:t>
      </w:r>
      <w:r w:rsidRPr="00B05A92">
        <w:rPr>
          <w:rFonts w:ascii="Times New Roman" w:eastAsia="SimSun" w:hAnsi="Times New Roman" w:cs="Times New Roman"/>
          <w:color w:val="000000"/>
          <w:kern w:val="0"/>
          <w:sz w:val="24"/>
          <w:szCs w:val="24"/>
        </w:rPr>
        <w:t> tests, and ANOVA.</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In this study, treatment allocation was not random, but determined by a health care provider. Hence, selection bias could potentially affect our results if the choice of therapy depended on patient factors that were associated with the outcome (in this case LEA or impaired heal).</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To minimize </w:t>
      </w:r>
      <w:proofErr w:type="gramStart"/>
      <w:r w:rsidRPr="00B05A92">
        <w:rPr>
          <w:rFonts w:ascii="Times New Roman" w:eastAsia="SimSun" w:hAnsi="Times New Roman" w:cs="Times New Roman"/>
          <w:color w:val="000000"/>
          <w:kern w:val="0"/>
          <w:sz w:val="24"/>
          <w:szCs w:val="24"/>
        </w:rPr>
        <w:t>bias</w:t>
      </w:r>
      <w:proofErr w:type="gramEnd"/>
      <w:r w:rsidRPr="00B05A92">
        <w:rPr>
          <w:rFonts w:ascii="Times New Roman" w:eastAsia="SimSun" w:hAnsi="Times New Roman" w:cs="Times New Roman"/>
          <w:color w:val="000000"/>
          <w:kern w:val="0"/>
          <w:sz w:val="24"/>
          <w:szCs w:val="24"/>
        </w:rPr>
        <w:t xml:space="preserve"> we used a PS approach. This approach allowed us to achieve balance on observed covariates between treatment groups so that the treatment groups were more comparable (</w:t>
      </w:r>
      <w:hyperlink r:id="rId25" w:anchor="B9" w:history="1">
        <w:r w:rsidRPr="00B05A92">
          <w:rPr>
            <w:rFonts w:ascii="Times New Roman" w:eastAsia="SimSun" w:hAnsi="Times New Roman" w:cs="Times New Roman"/>
            <w:color w:val="642A8F"/>
            <w:kern w:val="0"/>
            <w:sz w:val="24"/>
            <w:szCs w:val="24"/>
            <w:u w:val="single"/>
          </w:rPr>
          <w:t>9</w:t>
        </w:r>
      </w:hyperlink>
      <w:r w:rsidRPr="00B05A92">
        <w:rPr>
          <w:rFonts w:ascii="Times New Roman" w:eastAsia="SimSun" w:hAnsi="Times New Roman" w:cs="Times New Roman"/>
          <w:color w:val="000000"/>
          <w:kern w:val="0"/>
          <w:sz w:val="24"/>
          <w:szCs w:val="24"/>
        </w:rPr>
        <w:t xml:space="preserve">). The PS provides a summary value for the potential measured confounders. The PS represents a summary value of the potential covariates for each patient and are defined, regardless of the actual treatment choice, as the probability that each patient would receive the treatment of interest given the background covariates of that subject. Our PS model was used to balance </w:t>
      </w:r>
      <w:proofErr w:type="gramStart"/>
      <w:r w:rsidRPr="00B05A92">
        <w:rPr>
          <w:rFonts w:ascii="Times New Roman" w:eastAsia="SimSun" w:hAnsi="Times New Roman" w:cs="Times New Roman"/>
          <w:color w:val="000000"/>
          <w:kern w:val="0"/>
          <w:sz w:val="24"/>
          <w:szCs w:val="24"/>
        </w:rPr>
        <w:t>a number of</w:t>
      </w:r>
      <w:proofErr w:type="gramEnd"/>
      <w:r w:rsidRPr="00B05A92">
        <w:rPr>
          <w:rFonts w:ascii="Times New Roman" w:eastAsia="SimSun" w:hAnsi="Times New Roman" w:cs="Times New Roman"/>
          <w:color w:val="000000"/>
          <w:kern w:val="0"/>
          <w:sz w:val="24"/>
          <w:szCs w:val="24"/>
        </w:rPr>
        <w:t xml:space="preserve"> baseline covariates such as age, sex, wound age, wound size, Wagner wound grade ≥2, the number of wounds on the patient, history of neuropathy, history of wound recurrence, and history of osteomyelitis or abscess. Importantly, wound age, wound size, and Wagner wound grade ≥2 at first visit are highly predictive of the likelihood that a subject will heal and has been used in other PS studies of wound therapies (</w:t>
      </w:r>
      <w:hyperlink r:id="rId26" w:anchor="B14" w:history="1">
        <w:r w:rsidRPr="00B05A92">
          <w:rPr>
            <w:rFonts w:ascii="Times New Roman" w:eastAsia="SimSun" w:hAnsi="Times New Roman" w:cs="Times New Roman"/>
            <w:color w:val="642A8F"/>
            <w:kern w:val="0"/>
            <w:sz w:val="24"/>
            <w:szCs w:val="24"/>
            <w:u w:val="single"/>
          </w:rPr>
          <w:t>14</w:t>
        </w:r>
      </w:hyperlink>
      <w:r w:rsidRPr="00B05A92">
        <w:rPr>
          <w:rFonts w:ascii="Times New Roman" w:eastAsia="SimSun" w:hAnsi="Times New Roman" w:cs="Times New Roman"/>
          <w:color w:val="000000"/>
          <w:kern w:val="0"/>
          <w:sz w:val="24"/>
          <w:szCs w:val="24"/>
        </w:rPr>
        <w:t>–</w:t>
      </w:r>
      <w:hyperlink r:id="rId27" w:anchor="B16" w:history="1">
        <w:r w:rsidRPr="00B05A92">
          <w:rPr>
            <w:rFonts w:ascii="Times New Roman" w:eastAsia="SimSun" w:hAnsi="Times New Roman" w:cs="Times New Roman"/>
            <w:color w:val="642A8F"/>
            <w:kern w:val="0"/>
            <w:sz w:val="24"/>
            <w:szCs w:val="24"/>
            <w:u w:val="single"/>
          </w:rPr>
          <w:t>16</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We first used logistic regression to estimate the PS for </w:t>
      </w:r>
      <w:proofErr w:type="gramStart"/>
      <w:r w:rsidRPr="00B05A92">
        <w:rPr>
          <w:rFonts w:ascii="Times New Roman" w:eastAsia="SimSun" w:hAnsi="Times New Roman" w:cs="Times New Roman"/>
          <w:color w:val="000000"/>
          <w:kern w:val="0"/>
          <w:sz w:val="24"/>
          <w:szCs w:val="24"/>
        </w:rPr>
        <w:t>each individual</w:t>
      </w:r>
      <w:proofErr w:type="gramEnd"/>
      <w:r w:rsidRPr="00B05A92">
        <w:rPr>
          <w:rFonts w:ascii="Times New Roman" w:eastAsia="SimSun" w:hAnsi="Times New Roman" w:cs="Times New Roman"/>
          <w:color w:val="000000"/>
          <w:kern w:val="0"/>
          <w:sz w:val="24"/>
          <w:szCs w:val="24"/>
        </w:rPr>
        <w:t xml:space="preserve"> by regressing treatment assignment on relevant covariates. We used the estimated PS in several models based on matching and stratification (based on PS quintiles) as a weighting factor and as a continuous covariate for adjustment in proportional hazards analyses. In all proportional hazard models, the proportional hazards assumption was tested and confirmed using log-log plots and Schoenfeld residuals test.</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We also conducted an instrumental variables analysis, which is an alternative statistical approach used to minimize selection bias from unmeasured and measured confounders (</w:t>
      </w:r>
      <w:hyperlink r:id="rId28" w:tgtFrame="pmc_ext" w:history="1">
        <w:r w:rsidRPr="00B05A92">
          <w:rPr>
            <w:rFonts w:ascii="Times New Roman" w:eastAsia="SimSun" w:hAnsi="Times New Roman" w:cs="Times New Roman"/>
            <w:color w:val="642A8F"/>
            <w:kern w:val="0"/>
            <w:sz w:val="24"/>
            <w:szCs w:val="24"/>
            <w:u w:val="single"/>
          </w:rPr>
          <w:t xml:space="preserve">Supplementary </w:t>
        </w:r>
        <w:r w:rsidRPr="00B05A92">
          <w:rPr>
            <w:rFonts w:ascii="Times New Roman" w:eastAsia="SimSun" w:hAnsi="Times New Roman" w:cs="Times New Roman"/>
            <w:color w:val="642A8F"/>
            <w:kern w:val="0"/>
            <w:sz w:val="24"/>
            <w:szCs w:val="24"/>
            <w:u w:val="single"/>
          </w:rPr>
          <w:lastRenderedPageBreak/>
          <w:t>Materials</w:t>
        </w:r>
      </w:hyperlink>
      <w:r w:rsidRPr="00B05A92">
        <w:rPr>
          <w:rFonts w:ascii="Times New Roman" w:eastAsia="SimSun" w:hAnsi="Times New Roman" w:cs="Times New Roman"/>
          <w:color w:val="000000"/>
          <w:kern w:val="0"/>
          <w:sz w:val="24"/>
          <w:szCs w:val="24"/>
        </w:rPr>
        <w:t>) (</w:t>
      </w:r>
      <w:hyperlink r:id="rId29" w:anchor="B9" w:history="1">
        <w:r w:rsidRPr="00B05A92">
          <w:rPr>
            <w:rFonts w:ascii="Times New Roman" w:eastAsia="SimSun" w:hAnsi="Times New Roman" w:cs="Times New Roman"/>
            <w:color w:val="642A8F"/>
            <w:kern w:val="0"/>
            <w:sz w:val="24"/>
            <w:szCs w:val="24"/>
            <w:u w:val="single"/>
          </w:rPr>
          <w:t>9</w:t>
        </w:r>
      </w:hyperlink>
      <w:r w:rsidRPr="00B05A92">
        <w:rPr>
          <w:rFonts w:ascii="Times New Roman" w:eastAsia="SimSun" w:hAnsi="Times New Roman" w:cs="Times New Roman"/>
          <w:color w:val="000000"/>
          <w:kern w:val="0"/>
          <w:sz w:val="24"/>
          <w:szCs w:val="24"/>
        </w:rPr>
        <w:t>,</w:t>
      </w:r>
      <w:hyperlink r:id="rId30" w:anchor="B17" w:history="1">
        <w:r w:rsidRPr="00B05A92">
          <w:rPr>
            <w:rFonts w:ascii="Times New Roman" w:eastAsia="SimSun" w:hAnsi="Times New Roman" w:cs="Times New Roman"/>
            <w:color w:val="642A8F"/>
            <w:kern w:val="0"/>
            <w:sz w:val="24"/>
            <w:szCs w:val="24"/>
            <w:u w:val="single"/>
          </w:rPr>
          <w:t>17</w:t>
        </w:r>
      </w:hyperlink>
      <w:r w:rsidRPr="00B05A92">
        <w:rPr>
          <w:rFonts w:ascii="Times New Roman" w:eastAsia="SimSun" w:hAnsi="Times New Roman" w:cs="Times New Roman"/>
          <w:color w:val="000000"/>
          <w:kern w:val="0"/>
          <w:sz w:val="24"/>
          <w:szCs w:val="24"/>
        </w:rPr>
        <w:t>). This approach is further described in the </w:t>
      </w:r>
      <w:hyperlink r:id="rId31" w:tgtFrame="pmc_ext" w:history="1">
        <w:r w:rsidRPr="00B05A92">
          <w:rPr>
            <w:rFonts w:ascii="Times New Roman" w:eastAsia="SimSun" w:hAnsi="Times New Roman" w:cs="Times New Roman"/>
            <w:color w:val="642A8F"/>
            <w:kern w:val="0"/>
            <w:sz w:val="24"/>
            <w:szCs w:val="24"/>
            <w:u w:val="single"/>
          </w:rPr>
          <w:t>Supplementary Materials</w:t>
        </w:r>
      </w:hyperlink>
      <w:r w:rsidRPr="00B05A92">
        <w:rPr>
          <w:rFonts w:ascii="Times New Roman" w:eastAsia="SimSun" w:hAnsi="Times New Roman" w:cs="Times New Roman"/>
          <w:color w:val="000000"/>
          <w:kern w:val="0"/>
          <w:sz w:val="24"/>
          <w:szCs w:val="24"/>
        </w:rPr>
        <w:t>. All analyses were conducted using STATA version 12.1.</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Sensitivity analyses</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In nonrandomized studies, an observed association between treatment and outcome may reflect the effects of unknown or unmeasured confounders that might not have been adjusted for using the PS approach. We conducted a sensitivity analyses to assess the effects of an unmeasured binary confounder on the estimated hazard ratio (HR) for amputation and healing obtained using the PS model (</w:t>
      </w:r>
      <w:hyperlink r:id="rId32" w:anchor="B18" w:history="1">
        <w:r w:rsidRPr="00B05A92">
          <w:rPr>
            <w:rFonts w:ascii="Times New Roman" w:eastAsia="SimSun" w:hAnsi="Times New Roman" w:cs="Times New Roman"/>
            <w:color w:val="642A8F"/>
            <w:kern w:val="0"/>
            <w:sz w:val="24"/>
            <w:szCs w:val="24"/>
            <w:u w:val="single"/>
          </w:rPr>
          <w:t>18</w:t>
        </w:r>
      </w:hyperlink>
      <w:r w:rsidRPr="00B05A92">
        <w:rPr>
          <w:rFonts w:ascii="Times New Roman" w:eastAsia="SimSun" w:hAnsi="Times New Roman" w:cs="Times New Roman"/>
          <w:color w:val="000000"/>
          <w:kern w:val="0"/>
          <w:sz w:val="24"/>
          <w:szCs w:val="24"/>
        </w:rPr>
        <w:t>,</w:t>
      </w:r>
      <w:hyperlink r:id="rId33" w:anchor="B19" w:history="1">
        <w:r w:rsidRPr="00B05A92">
          <w:rPr>
            <w:rFonts w:ascii="Times New Roman" w:eastAsia="SimSun" w:hAnsi="Times New Roman" w:cs="Times New Roman"/>
            <w:color w:val="642A8F"/>
            <w:kern w:val="0"/>
            <w:sz w:val="24"/>
            <w:szCs w:val="24"/>
            <w:u w:val="single"/>
          </w:rPr>
          <w:t>19</w:t>
        </w:r>
      </w:hyperlink>
      <w:r w:rsidRPr="00B05A92">
        <w:rPr>
          <w:rFonts w:ascii="Times New Roman" w:eastAsia="SimSun" w:hAnsi="Times New Roman" w:cs="Times New Roman"/>
          <w:color w:val="000000"/>
          <w:kern w:val="0"/>
          <w:sz w:val="24"/>
          <w:szCs w:val="24"/>
        </w:rPr>
        <w:t>). Sensitivity analyses were performed using R version 2.14 (The R Foundation for Statistical Computing, Vienna, Austria).</w:t>
      </w:r>
    </w:p>
    <w:p w:rsidR="00B05A92" w:rsidRPr="00B05A92" w:rsidRDefault="00B05A92" w:rsidP="00B05A92">
      <w:pPr>
        <w:widowControl/>
        <w:jc w:val="right"/>
        <w:rPr>
          <w:rFonts w:ascii="Arial" w:eastAsia="SimSun" w:hAnsi="Arial" w:cs="Arial"/>
          <w:color w:val="000000"/>
          <w:kern w:val="0"/>
          <w:sz w:val="24"/>
          <w:szCs w:val="24"/>
        </w:rPr>
      </w:pPr>
      <w:hyperlink r:id="rId34" w:tooltip="Go to other sections in this page" w:history="1">
        <w:r w:rsidRPr="00B05A92">
          <w:rPr>
            <w:rFonts w:ascii="Arial" w:eastAsia="SimSun" w:hAnsi="Arial" w:cs="Arial"/>
            <w:color w:val="642A8F"/>
            <w:kern w:val="0"/>
            <w:sz w:val="24"/>
            <w:szCs w:val="24"/>
            <w:u w:val="single"/>
          </w:rPr>
          <w:t>Go to:</w:t>
        </w:r>
      </w:hyperlink>
    </w:p>
    <w:p w:rsidR="00B05A92" w:rsidRPr="00B05A92" w:rsidRDefault="00B05A92" w:rsidP="00B05A92">
      <w:pPr>
        <w:widowControl/>
        <w:pBdr>
          <w:bottom w:val="single" w:sz="6" w:space="0" w:color="97B0C8"/>
        </w:pBdr>
        <w:spacing w:before="270" w:line="267" w:lineRule="atLeast"/>
        <w:jc w:val="left"/>
        <w:outlineLvl w:val="1"/>
        <w:rPr>
          <w:rFonts w:ascii="Arial" w:eastAsia="SimSun" w:hAnsi="Arial" w:cs="Arial"/>
          <w:b/>
          <w:bCs/>
          <w:color w:val="985735"/>
          <w:kern w:val="0"/>
          <w:sz w:val="27"/>
          <w:szCs w:val="27"/>
        </w:rPr>
      </w:pPr>
      <w:r w:rsidRPr="00B05A92">
        <w:rPr>
          <w:rFonts w:ascii="Arial" w:eastAsia="SimSun" w:hAnsi="Arial" w:cs="Arial"/>
          <w:b/>
          <w:bCs/>
          <w:color w:val="985735"/>
          <w:kern w:val="0"/>
          <w:sz w:val="27"/>
          <w:szCs w:val="27"/>
        </w:rPr>
        <w:t>RESULTS</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Database validation</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Of the 200 charts reviewed, in those categorized as diabetic </w:t>
      </w:r>
      <w:proofErr w:type="spellStart"/>
      <w:r w:rsidRPr="00B05A92">
        <w:rPr>
          <w:rFonts w:ascii="Times New Roman" w:eastAsia="SimSun" w:hAnsi="Times New Roman" w:cs="Times New Roman"/>
          <w:color w:val="000000"/>
          <w:kern w:val="0"/>
          <w:sz w:val="24"/>
          <w:szCs w:val="24"/>
        </w:rPr>
        <w:t>nonischemic</w:t>
      </w:r>
      <w:proofErr w:type="spellEnd"/>
      <w:r w:rsidRPr="00B05A92">
        <w:rPr>
          <w:rFonts w:ascii="Times New Roman" w:eastAsia="SimSun" w:hAnsi="Times New Roman" w:cs="Times New Roman"/>
          <w:color w:val="000000"/>
          <w:kern w:val="0"/>
          <w:sz w:val="24"/>
          <w:szCs w:val="24"/>
        </w:rPr>
        <w:t xml:space="preserve"> foot ulcer, the diagnosis was confirmed in 93 of 100; in those categorized in the other lower-extremity wound group, 98 of 100 were confirmed. Therefore, our database algorithm had a positive predictive value of 97.9% (95% CI 92.6–99.7), a negative predictive value of 93.3% (86.7–97.3), a sensitivity of 93% (86.1–97.1), and a specificity of 98.0% (93.0–99.8).</w:t>
      </w:r>
    </w:p>
    <w:p w:rsidR="00B05A92" w:rsidRPr="00B05A92" w:rsidRDefault="00B05A92" w:rsidP="00B05A92">
      <w:pPr>
        <w:widowControl/>
        <w:spacing w:before="308" w:after="154" w:line="300" w:lineRule="atLeast"/>
        <w:jc w:val="left"/>
        <w:outlineLvl w:val="2"/>
        <w:rPr>
          <w:rFonts w:ascii="Arial" w:eastAsia="SimSun" w:hAnsi="Arial" w:cs="Arial"/>
          <w:b/>
          <w:bCs/>
          <w:color w:val="724128"/>
          <w:kern w:val="0"/>
          <w:sz w:val="24"/>
          <w:szCs w:val="24"/>
        </w:rPr>
      </w:pPr>
      <w:r w:rsidRPr="00B05A92">
        <w:rPr>
          <w:rFonts w:ascii="Arial" w:eastAsia="SimSun" w:hAnsi="Arial" w:cs="Arial"/>
          <w:b/>
          <w:bCs/>
          <w:color w:val="724128"/>
          <w:kern w:val="0"/>
          <w:sz w:val="24"/>
          <w:szCs w:val="24"/>
        </w:rPr>
        <w:t>Effectiveness of HBO</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There were 11,301 subjects with 32,021 wounds enrolled at eligible wound care centers with diabetic foot ulcers between November 2005 and May 2011. Per the enrollment criteria, these subjects had adequate lower-extremity arterial flow (as determined by the clinician) and a wound on their plantar foot (hindfoot [heel], midfoot, or forefoot [toes]). Finally, per our inclusion criteria, to more closely mimic Food and Drug Administration–approved RCTs, our study was limited to 6,259 subjects who did not experience healing or have an LEA or who experienced failure to decrease the wound size by at least 40% in the first 28 days of care. The majority (83%) of subjects were excluded because they had healed or had an amputation in the first 28 days of care. The average age of this cohort was 62.8 ± 24.6 years, 43.5% were women, 74.2% were white, and 4.5% had LEA (</w:t>
      </w:r>
      <w:hyperlink r:id="rId35" w:tgtFrame="true" w:history="1">
        <w:r w:rsidRPr="00B05A92">
          <w:rPr>
            <w:rFonts w:ascii="Times New Roman" w:eastAsia="SimSun" w:hAnsi="Times New Roman" w:cs="Times New Roman"/>
            <w:color w:val="642A8F"/>
            <w:kern w:val="0"/>
            <w:sz w:val="24"/>
            <w:szCs w:val="24"/>
            <w:u w:val="single"/>
          </w:rPr>
          <w:t>Table 1</w:t>
        </w:r>
      </w:hyperlink>
      <w:r w:rsidRPr="00B05A92">
        <w:rPr>
          <w:rFonts w:ascii="Times New Roman" w:eastAsia="SimSun" w:hAnsi="Times New Roman" w:cs="Times New Roman"/>
          <w:color w:val="000000"/>
          <w:kern w:val="0"/>
          <w:sz w:val="24"/>
          <w:szCs w:val="24"/>
        </w:rPr>
        <w:t>). The average wound was 1.5 ± 6.7 cm</w:t>
      </w:r>
      <w:r w:rsidRPr="00B05A92">
        <w:rPr>
          <w:rFonts w:ascii="Times New Roman" w:eastAsia="SimSun" w:hAnsi="Times New Roman" w:cs="Times New Roman"/>
          <w:color w:val="000000"/>
          <w:kern w:val="0"/>
          <w:sz w:val="20"/>
          <w:szCs w:val="20"/>
          <w:vertAlign w:val="superscript"/>
        </w:rPr>
        <w:t>2</w:t>
      </w:r>
      <w:r w:rsidRPr="00B05A92">
        <w:rPr>
          <w:rFonts w:ascii="Times New Roman" w:eastAsia="SimSun" w:hAnsi="Times New Roman" w:cs="Times New Roman"/>
          <w:color w:val="000000"/>
          <w:kern w:val="0"/>
          <w:sz w:val="24"/>
          <w:szCs w:val="24"/>
        </w:rPr>
        <w:t> and 1.1 ± 4.0 months old, with 19.3% of the wounds being Wagner grade ≥3, and 48.6% of the wounds healed by study week 16 (</w:t>
      </w:r>
      <w:hyperlink r:id="rId36" w:tgtFrame="true" w:history="1">
        <w:r w:rsidRPr="00B05A92">
          <w:rPr>
            <w:rFonts w:ascii="Times New Roman" w:eastAsia="SimSun" w:hAnsi="Times New Roman" w:cs="Times New Roman"/>
            <w:color w:val="642A8F"/>
            <w:kern w:val="0"/>
            <w:sz w:val="24"/>
            <w:szCs w:val="24"/>
            <w:u w:val="single"/>
          </w:rPr>
          <w:t>Table 1</w:t>
        </w:r>
      </w:hyperlink>
      <w:r w:rsidRPr="00B05A92">
        <w:rPr>
          <w:rFonts w:ascii="Times New Roman" w:eastAsia="SimSun" w:hAnsi="Times New Roman" w:cs="Times New Roman"/>
          <w:color w:val="000000"/>
          <w:kern w:val="0"/>
          <w:sz w:val="24"/>
          <w:szCs w:val="24"/>
        </w:rPr>
        <w:t xml:space="preserve">). In total, we analyzed 767,060 person-days of wound care therapy. HBO was administered to 12.7% of the subjects, most frequently to a depth of 2.0 </w:t>
      </w:r>
      <w:proofErr w:type="spellStart"/>
      <w:r w:rsidRPr="00B05A92">
        <w:rPr>
          <w:rFonts w:ascii="Times New Roman" w:eastAsia="SimSun" w:hAnsi="Times New Roman" w:cs="Times New Roman"/>
          <w:color w:val="000000"/>
          <w:kern w:val="0"/>
          <w:sz w:val="24"/>
          <w:szCs w:val="24"/>
        </w:rPr>
        <w:t>atm</w:t>
      </w:r>
      <w:proofErr w:type="spellEnd"/>
      <w:r w:rsidRPr="00B05A92">
        <w:rPr>
          <w:rFonts w:ascii="Times New Roman" w:eastAsia="SimSun" w:hAnsi="Times New Roman" w:cs="Times New Roman"/>
          <w:color w:val="000000"/>
          <w:kern w:val="0"/>
          <w:sz w:val="24"/>
          <w:szCs w:val="24"/>
        </w:rPr>
        <w:t xml:space="preserve"> (88.5% of treatments), 5 days per week (88%), and for 90-min sessions (99.5%).</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noProof/>
          <w:color w:val="642A8F"/>
          <w:kern w:val="0"/>
          <w:sz w:val="24"/>
          <w:szCs w:val="24"/>
        </w:rPr>
        <w:lastRenderedPageBreak/>
        <w:drawing>
          <wp:inline distT="0" distB="0" distL="0" distR="0">
            <wp:extent cx="1943100" cy="1327150"/>
            <wp:effectExtent l="0" t="0" r="0" b="6350"/>
            <wp:docPr id="3" name="Picture 3" descr="Table 1">
              <a:hlinkClick xmlns:a="http://schemas.openxmlformats.org/drawingml/2006/main" r:id="rId36" tgtFrame="&quot;tab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ble 1">
                      <a:hlinkClick r:id="rId36" tgtFrame="&quot;table&quot;"/>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43100" cy="1327150"/>
                    </a:xfrm>
                    <a:prstGeom prst="rect">
                      <a:avLst/>
                    </a:prstGeom>
                    <a:noFill/>
                    <a:ln>
                      <a:noFill/>
                    </a:ln>
                  </pic:spPr>
                </pic:pic>
              </a:graphicData>
            </a:graphic>
          </wp:inline>
        </w:drawing>
      </w:r>
    </w:p>
    <w:p w:rsidR="00B05A92" w:rsidRPr="00B05A92" w:rsidRDefault="00B05A92" w:rsidP="00B05A92">
      <w:pPr>
        <w:widowControl/>
        <w:jc w:val="left"/>
        <w:textAlignment w:val="top"/>
        <w:rPr>
          <w:rFonts w:ascii="Times New Roman" w:eastAsia="SimSun" w:hAnsi="Times New Roman" w:cs="Times New Roman"/>
          <w:color w:val="000000"/>
          <w:kern w:val="0"/>
          <w:sz w:val="24"/>
          <w:szCs w:val="24"/>
        </w:rPr>
      </w:pPr>
      <w:hyperlink r:id="rId38" w:tgtFrame="table" w:history="1">
        <w:r w:rsidRPr="00B05A92">
          <w:rPr>
            <w:rFonts w:ascii="Times New Roman" w:eastAsia="SimSun" w:hAnsi="Times New Roman" w:cs="Times New Roman"/>
            <w:color w:val="642A8F"/>
            <w:kern w:val="0"/>
            <w:sz w:val="24"/>
            <w:szCs w:val="24"/>
            <w:u w:val="single"/>
          </w:rPr>
          <w:t>Table 1</w:t>
        </w:r>
      </w:hyperlink>
    </w:p>
    <w:p w:rsidR="00B05A92" w:rsidRPr="00B05A92" w:rsidRDefault="00B05A92" w:rsidP="00B05A92">
      <w:pPr>
        <w:widowControl/>
        <w:jc w:val="left"/>
        <w:textAlignment w:val="top"/>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Basic characteristics of the study cohort</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Within PS strata, </w:t>
      </w:r>
      <w:proofErr w:type="gramStart"/>
      <w:r w:rsidRPr="00B05A92">
        <w:rPr>
          <w:rFonts w:ascii="Times New Roman" w:eastAsia="SimSun" w:hAnsi="Times New Roman" w:cs="Times New Roman"/>
          <w:color w:val="000000"/>
          <w:kern w:val="0"/>
          <w:sz w:val="24"/>
          <w:szCs w:val="24"/>
        </w:rPr>
        <w:t>with the exception of</w:t>
      </w:r>
      <w:proofErr w:type="gramEnd"/>
      <w:r w:rsidRPr="00B05A92">
        <w:rPr>
          <w:rFonts w:ascii="Times New Roman" w:eastAsia="SimSun" w:hAnsi="Times New Roman" w:cs="Times New Roman"/>
          <w:color w:val="000000"/>
          <w:kern w:val="0"/>
          <w:sz w:val="24"/>
          <w:szCs w:val="24"/>
        </w:rPr>
        <w:t xml:space="preserve"> wound grade, the distributions of all covariates were similar regardless of treatment. As an example, </w:t>
      </w:r>
      <w:hyperlink r:id="rId39" w:tgtFrame="true" w:history="1">
        <w:r w:rsidRPr="00B05A92">
          <w:rPr>
            <w:rFonts w:ascii="Times New Roman" w:eastAsia="SimSun" w:hAnsi="Times New Roman" w:cs="Times New Roman"/>
            <w:color w:val="642A8F"/>
            <w:kern w:val="0"/>
            <w:sz w:val="24"/>
            <w:szCs w:val="24"/>
            <w:u w:val="single"/>
          </w:rPr>
          <w:t>Table 2</w:t>
        </w:r>
      </w:hyperlink>
      <w:r w:rsidRPr="00B05A92">
        <w:rPr>
          <w:rFonts w:ascii="Times New Roman" w:eastAsia="SimSun" w:hAnsi="Times New Roman" w:cs="Times New Roman"/>
          <w:color w:val="000000"/>
          <w:kern w:val="0"/>
          <w:sz w:val="24"/>
          <w:szCs w:val="24"/>
        </w:rPr>
        <w:t> shows the balance of the three variables most often used to predict that a wound will heal. Those in quintile 2 (a group less likely to receive HBO) and quintile 5 (most likely to receive HBO) were not well-balanced (</w:t>
      </w:r>
      <w:r w:rsidRPr="00B05A92">
        <w:rPr>
          <w:rFonts w:ascii="Times New Roman" w:eastAsia="SimSun" w:hAnsi="Times New Roman" w:cs="Times New Roman"/>
          <w:i/>
          <w:iCs/>
          <w:color w:val="000000"/>
          <w:kern w:val="0"/>
          <w:sz w:val="24"/>
          <w:szCs w:val="24"/>
        </w:rPr>
        <w:t>P</w:t>
      </w:r>
      <w:r w:rsidRPr="00B05A92">
        <w:rPr>
          <w:rFonts w:ascii="Times New Roman" w:eastAsia="SimSun" w:hAnsi="Times New Roman" w:cs="Times New Roman"/>
          <w:color w:val="000000"/>
          <w:kern w:val="0"/>
          <w:sz w:val="24"/>
          <w:szCs w:val="24"/>
        </w:rPr>
        <w:t> &lt; 0.002 and </w:t>
      </w:r>
      <w:r w:rsidRPr="00B05A92">
        <w:rPr>
          <w:rFonts w:ascii="Times New Roman" w:eastAsia="SimSun" w:hAnsi="Times New Roman" w:cs="Times New Roman"/>
          <w:i/>
          <w:iCs/>
          <w:color w:val="000000"/>
          <w:kern w:val="0"/>
          <w:sz w:val="24"/>
          <w:szCs w:val="24"/>
        </w:rPr>
        <w:t>P</w:t>
      </w:r>
      <w:r w:rsidRPr="00B05A92">
        <w:rPr>
          <w:rFonts w:ascii="Times New Roman" w:eastAsia="SimSun" w:hAnsi="Times New Roman" w:cs="Times New Roman"/>
          <w:color w:val="000000"/>
          <w:kern w:val="0"/>
          <w:sz w:val="24"/>
          <w:szCs w:val="24"/>
        </w:rPr>
        <w:t> = 0.05, respectively) with respect to the percentage of individuals with wounds of Wagner grade ≥2.</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noProof/>
          <w:color w:val="642A8F"/>
          <w:kern w:val="0"/>
          <w:sz w:val="24"/>
          <w:szCs w:val="24"/>
        </w:rPr>
        <w:drawing>
          <wp:inline distT="0" distB="0" distL="0" distR="0">
            <wp:extent cx="1943100" cy="1327150"/>
            <wp:effectExtent l="0" t="0" r="0" b="6350"/>
            <wp:docPr id="2" name="Picture 2" descr="Table 2">
              <a:hlinkClick xmlns:a="http://schemas.openxmlformats.org/drawingml/2006/main" r:id="rId39" tgtFrame="&quot;tab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ble 2">
                      <a:hlinkClick r:id="rId39" tgtFrame="&quot;table&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3100" cy="1327150"/>
                    </a:xfrm>
                    <a:prstGeom prst="rect">
                      <a:avLst/>
                    </a:prstGeom>
                    <a:noFill/>
                    <a:ln>
                      <a:noFill/>
                    </a:ln>
                  </pic:spPr>
                </pic:pic>
              </a:graphicData>
            </a:graphic>
          </wp:inline>
        </w:drawing>
      </w:r>
    </w:p>
    <w:p w:rsidR="00B05A92" w:rsidRPr="00B05A92" w:rsidRDefault="00B05A92" w:rsidP="00B05A92">
      <w:pPr>
        <w:widowControl/>
        <w:jc w:val="left"/>
        <w:textAlignment w:val="top"/>
        <w:rPr>
          <w:rFonts w:ascii="Times New Roman" w:eastAsia="SimSun" w:hAnsi="Times New Roman" w:cs="Times New Roman"/>
          <w:color w:val="000000"/>
          <w:kern w:val="0"/>
          <w:sz w:val="24"/>
          <w:szCs w:val="24"/>
        </w:rPr>
      </w:pPr>
      <w:hyperlink r:id="rId41" w:tgtFrame="table" w:history="1">
        <w:r w:rsidRPr="00B05A92">
          <w:rPr>
            <w:rFonts w:ascii="Times New Roman" w:eastAsia="SimSun" w:hAnsi="Times New Roman" w:cs="Times New Roman"/>
            <w:color w:val="642A8F"/>
            <w:kern w:val="0"/>
            <w:sz w:val="24"/>
            <w:szCs w:val="24"/>
            <w:u w:val="single"/>
          </w:rPr>
          <w:t>Table 2</w:t>
        </w:r>
      </w:hyperlink>
    </w:p>
    <w:p w:rsidR="00B05A92" w:rsidRPr="00B05A92" w:rsidRDefault="00B05A92" w:rsidP="00B05A92">
      <w:pPr>
        <w:widowControl/>
        <w:jc w:val="left"/>
        <w:textAlignment w:val="top"/>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A sample of the covariate balance based on PS quintiles is illustrated using three variables that are highly predictive of wound healing</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Survival analyses with adjustment for the PS showed that individuals receiving HBO therapy were more likely to have a lower limb amputation (HR 2.37 [95% CI 1.84–3.04]) and were less likely to heal (0.68 [0.63–0.73]) when compared with those who did not receive this therapy (</w:t>
      </w:r>
      <w:hyperlink r:id="rId42" w:tgtFrame="true" w:history="1">
        <w:r w:rsidRPr="00B05A92">
          <w:rPr>
            <w:rFonts w:ascii="Times New Roman" w:eastAsia="SimSun" w:hAnsi="Times New Roman" w:cs="Times New Roman"/>
            <w:color w:val="642A8F"/>
            <w:kern w:val="0"/>
            <w:sz w:val="24"/>
            <w:szCs w:val="24"/>
            <w:u w:val="single"/>
          </w:rPr>
          <w:t>Table 3</w:t>
        </w:r>
      </w:hyperlink>
      <w:r w:rsidRPr="00B05A92">
        <w:rPr>
          <w:rFonts w:ascii="Times New Roman" w:eastAsia="SimSun" w:hAnsi="Times New Roman" w:cs="Times New Roman"/>
          <w:color w:val="000000"/>
          <w:kern w:val="0"/>
          <w:sz w:val="24"/>
          <w:szCs w:val="24"/>
        </w:rPr>
        <w:t xml:space="preserve">). These estimates were nearly identical for all analytic methods (PS adjustment, stratification, or nearest neighbor matching). However, because of our failure to fully balance Wagner wound grade </w:t>
      </w:r>
      <w:proofErr w:type="gramStart"/>
      <w:r w:rsidRPr="00B05A92">
        <w:rPr>
          <w:rFonts w:ascii="Times New Roman" w:eastAsia="SimSun" w:hAnsi="Times New Roman" w:cs="Times New Roman"/>
          <w:color w:val="000000"/>
          <w:kern w:val="0"/>
          <w:sz w:val="24"/>
          <w:szCs w:val="24"/>
        </w:rPr>
        <w:t>and also</w:t>
      </w:r>
      <w:proofErr w:type="gramEnd"/>
      <w:r w:rsidRPr="00B05A92">
        <w:rPr>
          <w:rFonts w:ascii="Times New Roman" w:eastAsia="SimSun" w:hAnsi="Times New Roman" w:cs="Times New Roman"/>
          <w:color w:val="000000"/>
          <w:kern w:val="0"/>
          <w:sz w:val="24"/>
          <w:szCs w:val="24"/>
        </w:rPr>
        <w:t xml:space="preserve"> to be consistent with CMS criteria, we separately evaluated individuals with Wagner wound grade ≥3 (</w:t>
      </w:r>
      <w:hyperlink r:id="rId43" w:tgtFrame="true" w:history="1">
        <w:r w:rsidRPr="00B05A92">
          <w:rPr>
            <w:rFonts w:ascii="Times New Roman" w:eastAsia="SimSun" w:hAnsi="Times New Roman" w:cs="Times New Roman"/>
            <w:color w:val="642A8F"/>
            <w:kern w:val="0"/>
            <w:sz w:val="24"/>
            <w:szCs w:val="24"/>
            <w:u w:val="single"/>
          </w:rPr>
          <w:t>Table 3</w:t>
        </w:r>
      </w:hyperlink>
      <w:r w:rsidRPr="00B05A92">
        <w:rPr>
          <w:rFonts w:ascii="Times New Roman" w:eastAsia="SimSun" w:hAnsi="Times New Roman" w:cs="Times New Roman"/>
          <w:color w:val="000000"/>
          <w:kern w:val="0"/>
          <w:sz w:val="24"/>
          <w:szCs w:val="24"/>
        </w:rPr>
        <w:t>). These subjects also were less likely to heal and more likely to have an amputation with HBO therapy (</w:t>
      </w:r>
      <w:hyperlink r:id="rId44" w:tgtFrame="true" w:history="1">
        <w:r w:rsidRPr="00B05A92">
          <w:rPr>
            <w:rFonts w:ascii="Times New Roman" w:eastAsia="SimSun" w:hAnsi="Times New Roman" w:cs="Times New Roman"/>
            <w:color w:val="642A8F"/>
            <w:kern w:val="0"/>
            <w:sz w:val="24"/>
            <w:szCs w:val="24"/>
            <w:u w:val="single"/>
          </w:rPr>
          <w:t>Table 3</w:t>
        </w:r>
      </w:hyperlink>
      <w:r w:rsidRPr="00B05A92">
        <w:rPr>
          <w:rFonts w:ascii="Times New Roman" w:eastAsia="SimSun" w:hAnsi="Times New Roman" w:cs="Times New Roman"/>
          <w:color w:val="000000"/>
          <w:kern w:val="0"/>
          <w:sz w:val="24"/>
          <w:szCs w:val="24"/>
        </w:rPr>
        <w:t>). The wound center had no effect on the likelihood that a wound might heal after controlling for wound duration, wound size, and wound grade.</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noProof/>
          <w:color w:val="642A8F"/>
          <w:kern w:val="0"/>
          <w:sz w:val="24"/>
          <w:szCs w:val="24"/>
        </w:rPr>
        <w:drawing>
          <wp:inline distT="0" distB="0" distL="0" distR="0">
            <wp:extent cx="1943100" cy="768350"/>
            <wp:effectExtent l="0" t="0" r="0" b="0"/>
            <wp:docPr id="1" name="Picture 1" descr="Table 3">
              <a:hlinkClick xmlns:a="http://schemas.openxmlformats.org/drawingml/2006/main" r:id="rId42" tgtFrame="&quot;tab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e 3">
                      <a:hlinkClick r:id="rId42" tgtFrame="&quot;table&quot;"/>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43100" cy="768350"/>
                    </a:xfrm>
                    <a:prstGeom prst="rect">
                      <a:avLst/>
                    </a:prstGeom>
                    <a:noFill/>
                    <a:ln>
                      <a:noFill/>
                    </a:ln>
                  </pic:spPr>
                </pic:pic>
              </a:graphicData>
            </a:graphic>
          </wp:inline>
        </w:drawing>
      </w:r>
    </w:p>
    <w:p w:rsidR="00B05A92" w:rsidRPr="00B05A92" w:rsidRDefault="00B05A92" w:rsidP="00B05A92">
      <w:pPr>
        <w:widowControl/>
        <w:jc w:val="left"/>
        <w:textAlignment w:val="top"/>
        <w:rPr>
          <w:rFonts w:ascii="Times New Roman" w:eastAsia="SimSun" w:hAnsi="Times New Roman" w:cs="Times New Roman"/>
          <w:color w:val="000000"/>
          <w:kern w:val="0"/>
          <w:sz w:val="24"/>
          <w:szCs w:val="24"/>
        </w:rPr>
      </w:pPr>
      <w:hyperlink r:id="rId46" w:tgtFrame="table" w:history="1">
        <w:r w:rsidRPr="00B05A92">
          <w:rPr>
            <w:rFonts w:ascii="Times New Roman" w:eastAsia="SimSun" w:hAnsi="Times New Roman" w:cs="Times New Roman"/>
            <w:color w:val="642A8F"/>
            <w:kern w:val="0"/>
            <w:sz w:val="24"/>
            <w:szCs w:val="24"/>
            <w:u w:val="single"/>
          </w:rPr>
          <w:t>Table 3</w:t>
        </w:r>
      </w:hyperlink>
    </w:p>
    <w:p w:rsidR="00B05A92" w:rsidRPr="00B05A92" w:rsidRDefault="00B05A92" w:rsidP="00B05A92">
      <w:pPr>
        <w:widowControl/>
        <w:jc w:val="left"/>
        <w:textAlignment w:val="top"/>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HRs for the effectiveness of HBO versus conventional care using PS approach</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lastRenderedPageBreak/>
        <w:t xml:space="preserve">Among those who received HBO, a median of 29 (25–75%; 15–48) treatments were received. It is important to note that those who received HBO received their LEAs </w:t>
      </w:r>
      <w:r w:rsidRPr="00B05A92">
        <w:rPr>
          <w:rFonts w:ascii="Cambria Math" w:eastAsia="SimSun" w:hAnsi="Cambria Math" w:cs="Cambria Math"/>
          <w:color w:val="000000"/>
          <w:kern w:val="0"/>
          <w:sz w:val="24"/>
          <w:szCs w:val="24"/>
        </w:rPr>
        <w:t>∼</w:t>
      </w:r>
      <w:r w:rsidRPr="00B05A92">
        <w:rPr>
          <w:rFonts w:ascii="Times New Roman" w:eastAsia="SimSun" w:hAnsi="Times New Roman" w:cs="Times New Roman"/>
          <w:color w:val="000000"/>
          <w:kern w:val="0"/>
          <w:sz w:val="24"/>
          <w:szCs w:val="24"/>
        </w:rPr>
        <w:t>3 weeks later than those who did not (</w:t>
      </w:r>
      <w:r w:rsidRPr="00B05A92">
        <w:rPr>
          <w:rFonts w:ascii="Times New Roman" w:eastAsia="SimSun" w:hAnsi="Times New Roman" w:cs="Times New Roman"/>
          <w:i/>
          <w:iCs/>
          <w:color w:val="000000"/>
          <w:kern w:val="0"/>
          <w:sz w:val="24"/>
          <w:szCs w:val="24"/>
        </w:rPr>
        <w:t>P</w:t>
      </w:r>
      <w:r w:rsidRPr="00B05A92">
        <w:rPr>
          <w:rFonts w:ascii="Times New Roman" w:eastAsia="SimSun" w:hAnsi="Times New Roman" w:cs="Times New Roman"/>
          <w:color w:val="000000"/>
          <w:kern w:val="0"/>
          <w:sz w:val="24"/>
          <w:szCs w:val="24"/>
        </w:rPr>
        <w:t> = 0.02). On average, amputations occurred at 88.6 ± 90.1 days for those who did not receive HBO versus 106.1 days ± 113.2 for those who received HBO. To assure treatment acceptance, HBO exposure was altered to require at least eight treatments; HBO therapy still was associated with increased amputation, (HR 2.03 [95% CI 1.49–2.77]) and fewer healed wounds (0.73 [0.66–0.81]).</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We conducted a regression-based sensitivity analysis to assess the effects of an unmeasured confounder on the estimated treatment effect HR resulting from the PS analysis. Analyses were conducted for both the estimated HRs for amputation (HR 2.37 [95% CI 1.84–3.04]) and healing (0.66 [0.63–0.73]). For the amputation outcome, the effect estimate was quite robust in the presence of an unmeasured confounder. For example, if there was an unmeasured confounder that was prevalent in 80% of those who received HBO and in only 10% of those in the comparison group, and if the HR for this unmeasured confounder was quite extreme with respect to amputation (i.e., HR 2.5), then after adjustment for the hypothetical unmeasured confounder we would have an HBO-based HR of 1.24 with 95% CI of 0.96–1.59, meaning that those who received HBO had a similar outcome as those who did not. For the healing outcome, similarly, the estimated HR after adjustment for measured confounders via the PS was 0.66 (0.63–0.70). In this case, if the unmeasured confounder was present only in 10% of the treated group and in 80% of the comparison group, and if the hazard associated with the unmeasured binary confounder was 2.0, then the new adjusted HR would be 1.08 with 95% CI of 1.03–1.19. In this situation, our HR would be &lt;1 and no longer statistically significantly. However, it is important to realize that our a priori assumption was that HBO prevented amputations and healed more wounds. For this assumption to be true, the direction of the effect estimates would have to be reversed (e.g., the 2.37 we measured changed to 0.5 to show fewer amputations) and would have to be statistically significant. For this to occur, the magnitude of the unmeasured confounder presented would need to be even more extreme and therefore is even more unlikely to exist. Finally, we also conducted analyses using an instrumental variable that yielded similar results (</w:t>
      </w:r>
      <w:hyperlink r:id="rId47" w:tgtFrame="pmc_ext" w:history="1">
        <w:r w:rsidRPr="00B05A92">
          <w:rPr>
            <w:rFonts w:ascii="Times New Roman" w:eastAsia="SimSun" w:hAnsi="Times New Roman" w:cs="Times New Roman"/>
            <w:color w:val="642A8F"/>
            <w:kern w:val="0"/>
            <w:sz w:val="24"/>
            <w:szCs w:val="24"/>
            <w:u w:val="single"/>
          </w:rPr>
          <w:t>Supplementary Data</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right"/>
        <w:rPr>
          <w:rFonts w:ascii="Arial" w:eastAsia="SimSun" w:hAnsi="Arial" w:cs="Arial"/>
          <w:color w:val="000000"/>
          <w:kern w:val="0"/>
          <w:sz w:val="24"/>
          <w:szCs w:val="24"/>
        </w:rPr>
      </w:pPr>
      <w:hyperlink r:id="rId48" w:tooltip="Go to other sections in this page" w:history="1">
        <w:r w:rsidRPr="00B05A92">
          <w:rPr>
            <w:rFonts w:ascii="Arial" w:eastAsia="SimSun" w:hAnsi="Arial" w:cs="Arial"/>
            <w:color w:val="642A8F"/>
            <w:kern w:val="0"/>
            <w:sz w:val="24"/>
            <w:szCs w:val="24"/>
            <w:u w:val="single"/>
          </w:rPr>
          <w:t>Go to:</w:t>
        </w:r>
      </w:hyperlink>
    </w:p>
    <w:p w:rsidR="00B05A92" w:rsidRPr="00B05A92" w:rsidRDefault="00B05A92" w:rsidP="00B05A92">
      <w:pPr>
        <w:widowControl/>
        <w:pBdr>
          <w:bottom w:val="single" w:sz="6" w:space="0" w:color="97B0C8"/>
        </w:pBdr>
        <w:spacing w:before="270" w:line="267" w:lineRule="atLeast"/>
        <w:jc w:val="left"/>
        <w:outlineLvl w:val="1"/>
        <w:rPr>
          <w:rFonts w:ascii="Arial" w:eastAsia="SimSun" w:hAnsi="Arial" w:cs="Arial"/>
          <w:b/>
          <w:bCs/>
          <w:color w:val="985735"/>
          <w:kern w:val="0"/>
          <w:sz w:val="27"/>
          <w:szCs w:val="27"/>
        </w:rPr>
      </w:pPr>
      <w:r w:rsidRPr="00B05A92">
        <w:rPr>
          <w:rFonts w:ascii="Arial" w:eastAsia="SimSun" w:hAnsi="Arial" w:cs="Arial"/>
          <w:b/>
          <w:bCs/>
          <w:color w:val="985735"/>
          <w:kern w:val="0"/>
          <w:sz w:val="27"/>
          <w:szCs w:val="27"/>
        </w:rPr>
        <w:t>CONCLUSIONS</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HBO therapy has been used to treat chronic wounds for &gt;20 years. Unfortunately, the literature on the efficacy of HBO therapy is not clear. Perhaps more importantly, there have been no studies of the effectiveness of this therapy. The importance of effectiveness studies on therapies for the treatment of diabetic foot ulcer is critical, as evidenced by the poor utilization of efficacious therapies like skin substitutes, recombinant human platelet-derived growth factor, and total contact casting (</w:t>
      </w:r>
      <w:hyperlink r:id="rId49" w:anchor="B20" w:history="1">
        <w:r w:rsidRPr="00B05A92">
          <w:rPr>
            <w:rFonts w:ascii="Times New Roman" w:eastAsia="SimSun" w:hAnsi="Times New Roman" w:cs="Times New Roman"/>
            <w:color w:val="642A8F"/>
            <w:kern w:val="0"/>
            <w:sz w:val="24"/>
            <w:szCs w:val="24"/>
            <w:u w:val="single"/>
          </w:rPr>
          <w:t>20</w:t>
        </w:r>
      </w:hyperlink>
      <w:r w:rsidRPr="00B05A92">
        <w:rPr>
          <w:rFonts w:ascii="Times New Roman" w:eastAsia="SimSun" w:hAnsi="Times New Roman" w:cs="Times New Roman"/>
          <w:color w:val="000000"/>
          <w:kern w:val="0"/>
          <w:sz w:val="24"/>
          <w:szCs w:val="24"/>
        </w:rPr>
        <w:t>–</w:t>
      </w:r>
      <w:hyperlink r:id="rId50" w:anchor="B22" w:history="1">
        <w:r w:rsidRPr="00B05A92">
          <w:rPr>
            <w:rFonts w:ascii="Times New Roman" w:eastAsia="SimSun" w:hAnsi="Times New Roman" w:cs="Times New Roman"/>
            <w:color w:val="642A8F"/>
            <w:kern w:val="0"/>
            <w:sz w:val="24"/>
            <w:szCs w:val="24"/>
            <w:u w:val="single"/>
          </w:rPr>
          <w:t>22</w:t>
        </w:r>
      </w:hyperlink>
      <w:r w:rsidRPr="00B05A92">
        <w:rPr>
          <w:rFonts w:ascii="Times New Roman" w:eastAsia="SimSun" w:hAnsi="Times New Roman" w:cs="Times New Roman"/>
          <w:color w:val="000000"/>
          <w:kern w:val="0"/>
          <w:sz w:val="24"/>
          <w:szCs w:val="24"/>
        </w:rPr>
        <w:t>). These are therapies that have been extensively investigated with high-quality efficacy studies, although not all are consistently reimbursed and therefore are not used extensively in clinical practice. In our study, we were not able to show that HBO prevented amputation or improved the likelihood that a wound would heal. In fact, using multiple analytic approaches, it appeared that those who received HBO were 1.5 to 3 times more likely to have an amputation than those who did not receive HBO, and they were also 1.2 to 3 times less likely to heal their foot ulcer.</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lastRenderedPageBreak/>
        <w:t>HBO has the potential to have many differing effects on a chronic wound and it may not be reasonable to assume that this therapy should be used to fully heal a wound. In fact, those who study wound care have been concerned that the requirement by regulators that a wound care product must heal a wound to receive approval may be naïve and not consistent with the biology of wound repair. HBO therapy may have a beneficial effect on microbial balance, soft tissue infection, and angiogenesis. HBO simply may be a part of the answer and not a therapy that should be used until a wound fully heals. Approximately one-third of the subjects in our study who received HBO received more than the recommended maximum number of treatments (e.g., &gt;40) (</w:t>
      </w:r>
      <w:hyperlink r:id="rId51" w:anchor="B23" w:history="1">
        <w:r w:rsidRPr="00B05A92">
          <w:rPr>
            <w:rFonts w:ascii="Times New Roman" w:eastAsia="SimSun" w:hAnsi="Times New Roman" w:cs="Times New Roman"/>
            <w:color w:val="642A8F"/>
            <w:kern w:val="0"/>
            <w:sz w:val="24"/>
            <w:szCs w:val="24"/>
            <w:u w:val="single"/>
          </w:rPr>
          <w:t>23</w:t>
        </w:r>
      </w:hyperlink>
      <w:r w:rsidRPr="00B05A92">
        <w:rPr>
          <w:rFonts w:ascii="Times New Roman" w:eastAsia="SimSun" w:hAnsi="Times New Roman" w:cs="Times New Roman"/>
          <w:color w:val="000000"/>
          <w:kern w:val="0"/>
          <w:sz w:val="24"/>
          <w:szCs w:val="24"/>
        </w:rPr>
        <w:t>). Most wound care guidelines explicitly mention the need to try other therapies if a therapy is not successful (</w:t>
      </w:r>
      <w:hyperlink r:id="rId52" w:anchor="B24" w:history="1">
        <w:r w:rsidRPr="00B05A92">
          <w:rPr>
            <w:rFonts w:ascii="Times New Roman" w:eastAsia="SimSun" w:hAnsi="Times New Roman" w:cs="Times New Roman"/>
            <w:color w:val="642A8F"/>
            <w:kern w:val="0"/>
            <w:sz w:val="24"/>
            <w:szCs w:val="24"/>
            <w:u w:val="single"/>
          </w:rPr>
          <w:t>24</w:t>
        </w:r>
      </w:hyperlink>
      <w:r w:rsidRPr="00B05A92">
        <w:rPr>
          <w:rFonts w:ascii="Times New Roman" w:eastAsia="SimSun" w:hAnsi="Times New Roman" w:cs="Times New Roman"/>
          <w:color w:val="000000"/>
          <w:kern w:val="0"/>
          <w:sz w:val="24"/>
          <w:szCs w:val="24"/>
        </w:rPr>
        <w:t>). It is conceivable that more attention needs to be given to the coordination between HBO usage and debridement or the use of other adjuvants like skin substitutes, recombinant human platelet-derived growth factor, total contact cast, and others (</w:t>
      </w:r>
      <w:hyperlink r:id="rId53" w:anchor="B24" w:history="1">
        <w:r w:rsidRPr="00B05A92">
          <w:rPr>
            <w:rFonts w:ascii="Times New Roman" w:eastAsia="SimSun" w:hAnsi="Times New Roman" w:cs="Times New Roman"/>
            <w:color w:val="642A8F"/>
            <w:kern w:val="0"/>
            <w:sz w:val="24"/>
            <w:szCs w:val="24"/>
            <w:u w:val="single"/>
          </w:rPr>
          <w:t>24</w:t>
        </w:r>
      </w:hyperlink>
      <w:r w:rsidRPr="00B05A92">
        <w:rPr>
          <w:rFonts w:ascii="Times New Roman" w:eastAsia="SimSun" w:hAnsi="Times New Roman" w:cs="Times New Roman"/>
          <w:color w:val="000000"/>
          <w:kern w:val="0"/>
          <w:sz w:val="24"/>
          <w:szCs w:val="24"/>
        </w:rPr>
        <w:t>). Further, this potentially improper usage may explain the conflicting reports in the literature about the efficacy of HBO (</w:t>
      </w:r>
      <w:hyperlink r:id="rId54"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 In this regard, there is precedence for differing outcomes with HBO. Osteoradionecrosis of the jaws is another condition treated with HBO and the timing of surgical intervention is an important variable with respect to success (</w:t>
      </w:r>
      <w:hyperlink r:id="rId55" w:anchor="B25" w:history="1">
        <w:r w:rsidRPr="00B05A92">
          <w:rPr>
            <w:rFonts w:ascii="Times New Roman" w:eastAsia="SimSun" w:hAnsi="Times New Roman" w:cs="Times New Roman"/>
            <w:color w:val="642A8F"/>
            <w:kern w:val="0"/>
            <w:sz w:val="24"/>
            <w:szCs w:val="24"/>
            <w:u w:val="single"/>
          </w:rPr>
          <w:t>25</w:t>
        </w:r>
      </w:hyperlink>
      <w:r w:rsidRPr="00B05A92">
        <w:rPr>
          <w:rFonts w:ascii="Times New Roman" w:eastAsia="SimSun" w:hAnsi="Times New Roman" w:cs="Times New Roman"/>
          <w:color w:val="000000"/>
          <w:kern w:val="0"/>
          <w:sz w:val="24"/>
          <w:szCs w:val="24"/>
        </w:rPr>
        <w:t>). A standard protocol shown to be effective is 20 preoperative HBO treatments before oral surgery. When HBO is used without surgical intervention it has no lasting benefit (</w:t>
      </w:r>
      <w:hyperlink r:id="rId56" w:anchor="B26" w:history="1">
        <w:r w:rsidRPr="00B05A92">
          <w:rPr>
            <w:rFonts w:ascii="Times New Roman" w:eastAsia="SimSun" w:hAnsi="Times New Roman" w:cs="Times New Roman"/>
            <w:color w:val="642A8F"/>
            <w:kern w:val="0"/>
            <w:sz w:val="24"/>
            <w:szCs w:val="24"/>
            <w:u w:val="single"/>
          </w:rPr>
          <w:t>26</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In 2012, an RCT-based meta-analysis was published on the efficacy of HBO (</w:t>
      </w:r>
      <w:hyperlink r:id="rId57"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 The authors found seven RCTs of 369 subjects that evaluated the efficacy of HBO as compared with conventional therapy (</w:t>
      </w:r>
      <w:hyperlink r:id="rId58"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 xml:space="preserve">). HBO therapy varied from 2 to 3 </w:t>
      </w:r>
      <w:proofErr w:type="spellStart"/>
      <w:r w:rsidRPr="00B05A92">
        <w:rPr>
          <w:rFonts w:ascii="Times New Roman" w:eastAsia="SimSun" w:hAnsi="Times New Roman" w:cs="Times New Roman"/>
          <w:color w:val="000000"/>
          <w:kern w:val="0"/>
          <w:sz w:val="24"/>
          <w:szCs w:val="24"/>
        </w:rPr>
        <w:t>atm</w:t>
      </w:r>
      <w:proofErr w:type="spellEnd"/>
      <w:r w:rsidRPr="00B05A92">
        <w:rPr>
          <w:rFonts w:ascii="Times New Roman" w:eastAsia="SimSun" w:hAnsi="Times New Roman" w:cs="Times New Roman"/>
          <w:color w:val="000000"/>
          <w:kern w:val="0"/>
          <w:sz w:val="24"/>
          <w:szCs w:val="24"/>
        </w:rPr>
        <w:t xml:space="preserve"> for 45 to 120 min, administered once or twice per day, 4 to 5 times per week (</w:t>
      </w:r>
      <w:hyperlink r:id="rId59"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 The case definition for diabetic foot ulcer varied across studies but mostly included wounds below the ankle in individuals with diabetes. The wound grade varied from Wagner grade 0 to 4, with most studies including individuals with wounds of grade ≥2 and allowing individuals with poor lower-extremity arterial blood flow (</w:t>
      </w:r>
      <w:hyperlink r:id="rId60"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 The conventional therapy arm also varied by trial but usually involved off-loading the foot. Not all trials reported all outcomes. Their meta-estimates did not show an advantage of HBO therapy as compared with standard therapy with respect to a healed wound at 6 months (two trials, </w:t>
      </w:r>
      <w:r w:rsidRPr="00B05A92">
        <w:rPr>
          <w:rFonts w:ascii="Times New Roman" w:eastAsia="SimSun" w:hAnsi="Times New Roman" w:cs="Times New Roman"/>
          <w:i/>
          <w:iCs/>
          <w:color w:val="000000"/>
          <w:kern w:val="0"/>
          <w:sz w:val="24"/>
          <w:szCs w:val="24"/>
        </w:rPr>
        <w:t>n</w:t>
      </w:r>
      <w:r w:rsidRPr="00B05A92">
        <w:rPr>
          <w:rFonts w:ascii="Times New Roman" w:eastAsia="SimSun" w:hAnsi="Times New Roman" w:cs="Times New Roman"/>
          <w:color w:val="000000"/>
          <w:kern w:val="0"/>
          <w:sz w:val="24"/>
          <w:szCs w:val="24"/>
        </w:rPr>
        <w:t> = 112) or 1 year (three trials, </w:t>
      </w:r>
      <w:r w:rsidRPr="00B05A92">
        <w:rPr>
          <w:rFonts w:ascii="Times New Roman" w:eastAsia="SimSun" w:hAnsi="Times New Roman" w:cs="Times New Roman"/>
          <w:i/>
          <w:iCs/>
          <w:color w:val="000000"/>
          <w:kern w:val="0"/>
          <w:sz w:val="24"/>
          <w:szCs w:val="24"/>
        </w:rPr>
        <w:t>n</w:t>
      </w:r>
      <w:r w:rsidRPr="00B05A92">
        <w:rPr>
          <w:rFonts w:ascii="Times New Roman" w:eastAsia="SimSun" w:hAnsi="Times New Roman" w:cs="Times New Roman"/>
          <w:color w:val="000000"/>
          <w:kern w:val="0"/>
          <w:sz w:val="24"/>
          <w:szCs w:val="24"/>
        </w:rPr>
        <w:t> = 212) (</w:t>
      </w:r>
      <w:hyperlink r:id="rId61"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 They also were not able to show fewer amputations, fewer minor amputations (four trials, </w:t>
      </w:r>
      <w:r w:rsidRPr="00B05A92">
        <w:rPr>
          <w:rFonts w:ascii="Times New Roman" w:eastAsia="SimSun" w:hAnsi="Times New Roman" w:cs="Times New Roman"/>
          <w:i/>
          <w:iCs/>
          <w:color w:val="000000"/>
          <w:kern w:val="0"/>
          <w:sz w:val="24"/>
          <w:szCs w:val="24"/>
        </w:rPr>
        <w:t>n</w:t>
      </w:r>
      <w:r w:rsidRPr="00B05A92">
        <w:rPr>
          <w:rFonts w:ascii="Times New Roman" w:eastAsia="SimSun" w:hAnsi="Times New Roman" w:cs="Times New Roman"/>
          <w:color w:val="000000"/>
          <w:kern w:val="0"/>
          <w:sz w:val="24"/>
          <w:szCs w:val="24"/>
        </w:rPr>
        <w:t> = 242), or fewer major amputations (five trials, </w:t>
      </w:r>
      <w:r w:rsidRPr="00B05A92">
        <w:rPr>
          <w:rFonts w:ascii="Times New Roman" w:eastAsia="SimSun" w:hAnsi="Times New Roman" w:cs="Times New Roman"/>
          <w:i/>
          <w:iCs/>
          <w:color w:val="000000"/>
          <w:kern w:val="0"/>
          <w:sz w:val="24"/>
          <w:szCs w:val="24"/>
        </w:rPr>
        <w:t>n</w:t>
      </w:r>
      <w:r w:rsidRPr="00B05A92">
        <w:rPr>
          <w:rFonts w:ascii="Times New Roman" w:eastAsia="SimSun" w:hAnsi="Times New Roman" w:cs="Times New Roman"/>
          <w:color w:val="000000"/>
          <w:kern w:val="0"/>
          <w:sz w:val="24"/>
          <w:szCs w:val="24"/>
        </w:rPr>
        <w:t> = 309) in those who received HBO as compared with standard therapy (</w:t>
      </w:r>
      <w:hyperlink r:id="rId62"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 Although they could not show a statistically significant advantage, in most circumstances HBO appeared to be superior to conventional therapy. Pooled data from three of the trials (</w:t>
      </w:r>
      <w:r w:rsidRPr="00B05A92">
        <w:rPr>
          <w:rFonts w:ascii="Times New Roman" w:eastAsia="SimSun" w:hAnsi="Times New Roman" w:cs="Times New Roman"/>
          <w:i/>
          <w:iCs/>
          <w:color w:val="000000"/>
          <w:kern w:val="0"/>
          <w:sz w:val="24"/>
          <w:szCs w:val="24"/>
        </w:rPr>
        <w:t>n</w:t>
      </w:r>
      <w:r w:rsidRPr="00B05A92">
        <w:rPr>
          <w:rFonts w:ascii="Times New Roman" w:eastAsia="SimSun" w:hAnsi="Times New Roman" w:cs="Times New Roman"/>
          <w:color w:val="000000"/>
          <w:kern w:val="0"/>
          <w:sz w:val="24"/>
          <w:szCs w:val="24"/>
        </w:rPr>
        <w:t> = 140) at 6 weeks did show that individuals who received HBO were more likely to heal (</w:t>
      </w:r>
      <w:hyperlink r:id="rId63" w:anchor="B8" w:history="1">
        <w:r w:rsidRPr="00B05A92">
          <w:rPr>
            <w:rFonts w:ascii="Times New Roman" w:eastAsia="SimSun" w:hAnsi="Times New Roman" w:cs="Times New Roman"/>
            <w:color w:val="642A8F"/>
            <w:kern w:val="0"/>
            <w:sz w:val="24"/>
            <w:szCs w:val="24"/>
            <w:u w:val="single"/>
          </w:rPr>
          <w:t>8</w:t>
        </w:r>
      </w:hyperlink>
      <w:r w:rsidRPr="00B05A92">
        <w:rPr>
          <w:rFonts w:ascii="Times New Roman" w:eastAsia="SimSun" w:hAnsi="Times New Roman" w:cs="Times New Roman"/>
          <w:color w:val="000000"/>
          <w:kern w:val="0"/>
          <w:sz w:val="24"/>
          <w:szCs w:val="24"/>
        </w:rPr>
        <w:t>). Interestingly, a recent randomized trial had demonstrated that another device was approximately two times more efficacious than HBO, but this same device was later shown not to be more efficacious than standard off-loading (</w:t>
      </w:r>
      <w:hyperlink r:id="rId64" w:anchor="B27" w:history="1">
        <w:r w:rsidRPr="00B05A92">
          <w:rPr>
            <w:rFonts w:ascii="Times New Roman" w:eastAsia="SimSun" w:hAnsi="Times New Roman" w:cs="Times New Roman"/>
            <w:color w:val="642A8F"/>
            <w:kern w:val="0"/>
            <w:sz w:val="24"/>
            <w:szCs w:val="24"/>
            <w:u w:val="single"/>
          </w:rPr>
          <w:t>27</w:t>
        </w:r>
      </w:hyperlink>
      <w:r w:rsidRPr="00B05A92">
        <w:rPr>
          <w:rFonts w:ascii="Times New Roman" w:eastAsia="SimSun" w:hAnsi="Times New Roman" w:cs="Times New Roman"/>
          <w:color w:val="000000"/>
          <w:kern w:val="0"/>
          <w:sz w:val="24"/>
          <w:szCs w:val="24"/>
        </w:rPr>
        <w:t>). It is important to realize that many of the subjects studied in the trials described would not have met CMS eligibility criteria for treatment.</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We did not evaluate other therapies used by the wound care centers. HBO is used as an adjunctive with other therapies. Our goal was to compare those who received HBO with those who did not receive HBO. The NHC algorithm suggests that individuals with diabetic foot ulcers receive debridement, off-loading, good wound care, and the consideration of other therapies like recombinant human platelet-derived growth factor and skin substitutes. We did not investigate which other </w:t>
      </w:r>
      <w:r w:rsidRPr="00B05A92">
        <w:rPr>
          <w:rFonts w:ascii="Times New Roman" w:eastAsia="SimSun" w:hAnsi="Times New Roman" w:cs="Times New Roman"/>
          <w:color w:val="000000"/>
          <w:kern w:val="0"/>
          <w:sz w:val="24"/>
          <w:szCs w:val="24"/>
        </w:rPr>
        <w:lastRenderedPageBreak/>
        <w:t>therapies were the most successful, but our results indicate that as a group they were more successful than HBO and these other strategies need to be considered.</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Even though we used statistical methods such as PS or instrumental variable, to try to understand and adjust for treatment selection bias, it is still possible that our results are biased. However, we did include in our PS variables that have been shown to correctly predict whether a wound will heal and to explain &gt;90% of variability between predicted and actual outcomes (</w:t>
      </w:r>
      <w:hyperlink r:id="rId65" w:anchor="B16" w:history="1">
        <w:r w:rsidRPr="00B05A92">
          <w:rPr>
            <w:rFonts w:ascii="Times New Roman" w:eastAsia="SimSun" w:hAnsi="Times New Roman" w:cs="Times New Roman"/>
            <w:color w:val="642A8F"/>
            <w:kern w:val="0"/>
            <w:sz w:val="24"/>
            <w:szCs w:val="24"/>
            <w:u w:val="single"/>
          </w:rPr>
          <w:t>16</w:t>
        </w:r>
      </w:hyperlink>
      <w:r w:rsidRPr="00B05A92">
        <w:rPr>
          <w:rFonts w:ascii="Times New Roman" w:eastAsia="SimSun" w:hAnsi="Times New Roman" w:cs="Times New Roman"/>
          <w:color w:val="000000"/>
          <w:kern w:val="0"/>
          <w:sz w:val="24"/>
          <w:szCs w:val="24"/>
        </w:rPr>
        <w:t>,</w:t>
      </w:r>
      <w:hyperlink r:id="rId66" w:anchor="B28" w:history="1">
        <w:r w:rsidRPr="00B05A92">
          <w:rPr>
            <w:rFonts w:ascii="Times New Roman" w:eastAsia="SimSun" w:hAnsi="Times New Roman" w:cs="Times New Roman"/>
            <w:color w:val="642A8F"/>
            <w:kern w:val="0"/>
            <w:sz w:val="24"/>
            <w:szCs w:val="24"/>
            <w:u w:val="single"/>
          </w:rPr>
          <w:t>28</w:t>
        </w:r>
      </w:hyperlink>
      <w:r w:rsidRPr="00B05A92">
        <w:rPr>
          <w:rFonts w:ascii="Times New Roman" w:eastAsia="SimSun" w:hAnsi="Times New Roman" w:cs="Times New Roman"/>
          <w:color w:val="000000"/>
          <w:kern w:val="0"/>
          <w:sz w:val="24"/>
          <w:szCs w:val="24"/>
        </w:rPr>
        <w:t>,</w:t>
      </w:r>
      <w:hyperlink r:id="rId67" w:anchor="B29" w:history="1">
        <w:r w:rsidRPr="00B05A92">
          <w:rPr>
            <w:rFonts w:ascii="Times New Roman" w:eastAsia="SimSun" w:hAnsi="Times New Roman" w:cs="Times New Roman"/>
            <w:color w:val="642A8F"/>
            <w:kern w:val="0"/>
            <w:sz w:val="24"/>
            <w:szCs w:val="24"/>
            <w:u w:val="single"/>
          </w:rPr>
          <w:t>29</w:t>
        </w:r>
      </w:hyperlink>
      <w:r w:rsidRPr="00B05A92">
        <w:rPr>
          <w:rFonts w:ascii="Times New Roman" w:eastAsia="SimSun" w:hAnsi="Times New Roman" w:cs="Times New Roman"/>
          <w:color w:val="000000"/>
          <w:kern w:val="0"/>
          <w:sz w:val="24"/>
          <w:szCs w:val="24"/>
        </w:rPr>
        <w:t>). The covariates that are most highly predictive of wound healing were either well-balanced (i.e., wound duration and wound size) or evaluated by exclusion (i.e., wound grade). These variables have been used in other PS assessments of the effectiveness of wound therapies (</w:t>
      </w:r>
      <w:hyperlink r:id="rId68" w:anchor="B14" w:history="1">
        <w:r w:rsidRPr="00B05A92">
          <w:rPr>
            <w:rFonts w:ascii="Times New Roman" w:eastAsia="SimSun" w:hAnsi="Times New Roman" w:cs="Times New Roman"/>
            <w:color w:val="642A8F"/>
            <w:kern w:val="0"/>
            <w:sz w:val="24"/>
            <w:szCs w:val="24"/>
            <w:u w:val="single"/>
          </w:rPr>
          <w:t>14</w:t>
        </w:r>
      </w:hyperlink>
      <w:r w:rsidRPr="00B05A92">
        <w:rPr>
          <w:rFonts w:ascii="Times New Roman" w:eastAsia="SimSun" w:hAnsi="Times New Roman" w:cs="Times New Roman"/>
          <w:color w:val="000000"/>
          <w:kern w:val="0"/>
          <w:sz w:val="24"/>
          <w:szCs w:val="24"/>
        </w:rPr>
        <w:t>,</w:t>
      </w:r>
      <w:hyperlink r:id="rId69" w:anchor="B28" w:history="1">
        <w:r w:rsidRPr="00B05A92">
          <w:rPr>
            <w:rFonts w:ascii="Times New Roman" w:eastAsia="SimSun" w:hAnsi="Times New Roman" w:cs="Times New Roman"/>
            <w:color w:val="642A8F"/>
            <w:kern w:val="0"/>
            <w:sz w:val="24"/>
            <w:szCs w:val="24"/>
            <w:u w:val="single"/>
          </w:rPr>
          <w:t>28</w:t>
        </w:r>
      </w:hyperlink>
      <w:r w:rsidRPr="00B05A92">
        <w:rPr>
          <w:rFonts w:ascii="Times New Roman" w:eastAsia="SimSun" w:hAnsi="Times New Roman" w:cs="Times New Roman"/>
          <w:color w:val="000000"/>
          <w:kern w:val="0"/>
          <w:sz w:val="24"/>
          <w:szCs w:val="24"/>
        </w:rPr>
        <w:t>). Finally, we conducted a sensitivity analysis to evaluate the effect of unmeasured confounders on our results. The results of the sensitivity analysis demonstrate the robustness of our results with any potential unknown confounders. However, until multiple, well-designed, large RCTs evaluate outcomes other than a fully healed wound, it may not be possible to truly understand if HBO provides a benefit. Also, because we conducted our study in wound care centers, our results might not be generalizable to all wound care providers. However, all wound care providers do not have HBO facilities; however, many wound care centers like NHC do have HBO on site, thereby improving the likelihood that our study generalizes to those that have HBO on site.</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In conclusion, HBO did not appear to be useful for the prevention of amputation and did not improve the likelihood that a wound would heal in a cohort of patients defined by CMS eligibility criteria. To date, this is the largest study of HBO. We used several techniques to ensure that treatment selection bias was minimized. It is important to note that our findings may not be consistent with the Food and Drug Administration clearance for this device, which was based on the Undersea and Hyperbaric Medical Society–approved indications. Per these recommendations, HBO therapy is for the enhancement of healing in selected problem wounds. It is entirely likely that HBO therapy enhances a specific aspect of wound repair and should not be used as a single agent to completely heal a wound. This also was likely true for several scientifically valid compounds, which when tested in vitro and in animal studies had shown promise with respect to wound healing but when tested in humans were not shown to heal chronic wounds (</w:t>
      </w:r>
      <w:hyperlink r:id="rId70" w:anchor="B11" w:history="1">
        <w:r w:rsidRPr="00B05A92">
          <w:rPr>
            <w:rFonts w:ascii="Times New Roman" w:eastAsia="SimSun" w:hAnsi="Times New Roman" w:cs="Times New Roman"/>
            <w:color w:val="642A8F"/>
            <w:kern w:val="0"/>
            <w:sz w:val="24"/>
            <w:szCs w:val="24"/>
            <w:u w:val="single"/>
          </w:rPr>
          <w:t>11</w:t>
        </w:r>
      </w:hyperlink>
      <w:r w:rsidRPr="00B05A92">
        <w:rPr>
          <w:rFonts w:ascii="Times New Roman" w:eastAsia="SimSun" w:hAnsi="Times New Roman" w:cs="Times New Roman"/>
          <w:color w:val="000000"/>
          <w:kern w:val="0"/>
          <w:sz w:val="24"/>
          <w:szCs w:val="24"/>
        </w:rPr>
        <w:t>,</w:t>
      </w:r>
      <w:hyperlink r:id="rId71" w:anchor="B30" w:history="1">
        <w:r w:rsidRPr="00B05A92">
          <w:rPr>
            <w:rFonts w:ascii="Times New Roman" w:eastAsia="SimSun" w:hAnsi="Times New Roman" w:cs="Times New Roman"/>
            <w:color w:val="642A8F"/>
            <w:kern w:val="0"/>
            <w:sz w:val="24"/>
            <w:szCs w:val="24"/>
            <w:u w:val="single"/>
          </w:rPr>
          <w:t>30</w:t>
        </w:r>
      </w:hyperlink>
      <w:r w:rsidRPr="00B05A92">
        <w:rPr>
          <w:rFonts w:ascii="Times New Roman" w:eastAsia="SimSun" w:hAnsi="Times New Roman" w:cs="Times New Roman"/>
          <w:color w:val="000000"/>
          <w:kern w:val="0"/>
          <w:sz w:val="24"/>
          <w:szCs w:val="24"/>
        </w:rPr>
        <w:t>). The usefulness of HBO in the treatment of diabetic foot ulcers needs to be better-clarified, preferably using well-designed RCTs and perhaps using other healing-based end points other than a healed wound.</w:t>
      </w:r>
    </w:p>
    <w:p w:rsidR="00B05A92" w:rsidRPr="00B05A92" w:rsidRDefault="00B05A92" w:rsidP="00B05A92">
      <w:pPr>
        <w:widowControl/>
        <w:jc w:val="right"/>
        <w:rPr>
          <w:rFonts w:ascii="Arial" w:eastAsia="SimSun" w:hAnsi="Arial" w:cs="Arial"/>
          <w:color w:val="000000"/>
          <w:kern w:val="0"/>
          <w:sz w:val="24"/>
          <w:szCs w:val="24"/>
        </w:rPr>
      </w:pPr>
      <w:hyperlink r:id="rId72" w:tooltip="Go to other sections in this page" w:history="1">
        <w:r w:rsidRPr="00B05A92">
          <w:rPr>
            <w:rFonts w:ascii="Arial" w:eastAsia="SimSun" w:hAnsi="Arial" w:cs="Arial"/>
            <w:color w:val="642A8F"/>
            <w:kern w:val="0"/>
            <w:sz w:val="24"/>
            <w:szCs w:val="24"/>
            <w:u w:val="single"/>
          </w:rPr>
          <w:t>Go to:</w:t>
        </w:r>
      </w:hyperlink>
    </w:p>
    <w:p w:rsidR="00B05A92" w:rsidRPr="00B05A92" w:rsidRDefault="00B05A92" w:rsidP="00B05A92">
      <w:pPr>
        <w:widowControl/>
        <w:pBdr>
          <w:bottom w:val="single" w:sz="6" w:space="0" w:color="97B0C8"/>
        </w:pBdr>
        <w:spacing w:before="270" w:line="267" w:lineRule="atLeast"/>
        <w:jc w:val="left"/>
        <w:outlineLvl w:val="1"/>
        <w:rPr>
          <w:rFonts w:ascii="Arial" w:eastAsia="SimSun" w:hAnsi="Arial" w:cs="Arial"/>
          <w:b/>
          <w:bCs/>
          <w:color w:val="985735"/>
          <w:kern w:val="0"/>
          <w:sz w:val="27"/>
          <w:szCs w:val="27"/>
        </w:rPr>
      </w:pPr>
      <w:r w:rsidRPr="00B05A92">
        <w:rPr>
          <w:rFonts w:ascii="Arial" w:eastAsia="SimSun" w:hAnsi="Arial" w:cs="Arial"/>
          <w:b/>
          <w:bCs/>
          <w:color w:val="985735"/>
          <w:kern w:val="0"/>
          <w:sz w:val="27"/>
          <w:szCs w:val="27"/>
        </w:rPr>
        <w:t>Acknowledgments</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This project was supported by Grant R01-HS018437 from the Agency for Healthcare Research and Quality (AHRQ; to D.J.M.) and R01-DK094260 from the National Institute of Diabetes and Digestive and Kidney Diseases (NIDDK; to S.R.T.). The funders had no role in the study design, data collection and analysis, decision to publish, or preparation of the manuscript.</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None of the authors has any actual or potential conflicts of interest with respect to ownership or intellectual properly associated with wound repair and hyperbaric oxygen. D.J.M. and S.R.T. have consulted for National Healing Corporation (NHC), which provided, for a fee, access to their </w:t>
      </w:r>
      <w:r w:rsidRPr="00B05A92">
        <w:rPr>
          <w:rFonts w:ascii="Times New Roman" w:eastAsia="SimSun" w:hAnsi="Times New Roman" w:cs="Times New Roman"/>
          <w:color w:val="000000"/>
          <w:kern w:val="0"/>
          <w:sz w:val="24"/>
          <w:szCs w:val="24"/>
        </w:rPr>
        <w:lastRenderedPageBreak/>
        <w:t>database. As described in the article, NHC centers provided HBO as a treatment option. NHC is now fully owned by Healogics. S.R.T. is a consultant to Healogics. No other potential conflicts of interest relevant to this article were reported.</w:t>
      </w:r>
    </w:p>
    <w:p w:rsidR="00B05A92" w:rsidRPr="00B05A92" w:rsidRDefault="00B05A92" w:rsidP="00B05A92">
      <w:pPr>
        <w:widowControl/>
        <w:spacing w:before="166" w:after="166"/>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D.J.M., J.G., O.H., M.P., and N.M. designed the study, conducted analyses, had access to the data, analyzed and interpreted the data, and wrote the manuscript. H.A.G. contributed to the design, contributed to the interpretation of the analyses, and reviewed and edited the manuscript. S.R.T. designed the study, interpreted the analyses, and reviewed and edited the manuscript. All authors approved the final version of the manuscript. D.J.M. is the guarantor of this work and, as such, had full access to all the data in the study and takes responsibility for the integrity of the data and the accuracy of the data analysis.</w:t>
      </w:r>
    </w:p>
    <w:p w:rsidR="00B05A92" w:rsidRPr="00B05A92" w:rsidRDefault="00B05A92" w:rsidP="00B05A92">
      <w:pPr>
        <w:widowControl/>
        <w:jc w:val="right"/>
        <w:rPr>
          <w:rFonts w:ascii="Arial" w:eastAsia="SimSun" w:hAnsi="Arial" w:cs="Arial"/>
          <w:color w:val="000000"/>
          <w:kern w:val="0"/>
          <w:sz w:val="24"/>
          <w:szCs w:val="24"/>
        </w:rPr>
      </w:pPr>
      <w:hyperlink r:id="rId73" w:tooltip="Go to other sections in this page" w:history="1">
        <w:r w:rsidRPr="00B05A92">
          <w:rPr>
            <w:rFonts w:ascii="Arial" w:eastAsia="SimSun" w:hAnsi="Arial" w:cs="Arial"/>
            <w:color w:val="642A8F"/>
            <w:kern w:val="0"/>
            <w:sz w:val="24"/>
            <w:szCs w:val="24"/>
            <w:u w:val="single"/>
          </w:rPr>
          <w:t>Go to:</w:t>
        </w:r>
      </w:hyperlink>
    </w:p>
    <w:p w:rsidR="00B05A92" w:rsidRPr="00B05A92" w:rsidRDefault="00B05A92" w:rsidP="00B05A92">
      <w:pPr>
        <w:widowControl/>
        <w:pBdr>
          <w:bottom w:val="single" w:sz="6" w:space="0" w:color="97B0C8"/>
        </w:pBdr>
        <w:spacing w:before="270" w:line="267" w:lineRule="atLeast"/>
        <w:jc w:val="left"/>
        <w:outlineLvl w:val="1"/>
        <w:rPr>
          <w:rFonts w:ascii="Arial" w:eastAsia="SimSun" w:hAnsi="Arial" w:cs="Arial"/>
          <w:b/>
          <w:bCs/>
          <w:color w:val="985735"/>
          <w:kern w:val="0"/>
          <w:sz w:val="27"/>
          <w:szCs w:val="27"/>
        </w:rPr>
      </w:pPr>
      <w:r w:rsidRPr="00B05A92">
        <w:rPr>
          <w:rFonts w:ascii="Arial" w:eastAsia="SimSun" w:hAnsi="Arial" w:cs="Arial"/>
          <w:b/>
          <w:bCs/>
          <w:color w:val="985735"/>
          <w:kern w:val="0"/>
          <w:sz w:val="27"/>
          <w:szCs w:val="27"/>
        </w:rPr>
        <w:t>Footnotes</w:t>
      </w:r>
    </w:p>
    <w:p w:rsidR="00B05A92" w:rsidRPr="00B05A92" w:rsidRDefault="00B05A92" w:rsidP="00B05A92">
      <w:pPr>
        <w:widowControl/>
        <w:jc w:val="left"/>
        <w:rPr>
          <w:rFonts w:ascii="Arial" w:eastAsia="SimSun" w:hAnsi="Arial" w:cs="Arial"/>
          <w:color w:val="000000"/>
          <w:kern w:val="0"/>
          <w:sz w:val="19"/>
          <w:szCs w:val="19"/>
        </w:rPr>
      </w:pPr>
      <w:r w:rsidRPr="00B05A92">
        <w:rPr>
          <w:rFonts w:ascii="Arial" w:eastAsia="SimSun" w:hAnsi="Arial" w:cs="Arial"/>
          <w:color w:val="000000"/>
          <w:kern w:val="0"/>
          <w:sz w:val="19"/>
          <w:szCs w:val="19"/>
        </w:rPr>
        <w:t>This article contains Supplementary Data online at </w:t>
      </w:r>
      <w:hyperlink r:id="rId74" w:tgtFrame="pmc_ext" w:history="1">
        <w:r w:rsidRPr="00B05A92">
          <w:rPr>
            <w:rFonts w:ascii="Arial" w:eastAsia="SimSun" w:hAnsi="Arial" w:cs="Arial"/>
            <w:color w:val="642A8F"/>
            <w:kern w:val="0"/>
            <w:sz w:val="19"/>
            <w:szCs w:val="19"/>
            <w:u w:val="single"/>
          </w:rPr>
          <w:t>http://care.diabetesjournals.org/lookup/suppl/doi:10.2337/dc12-2160/-/DC1</w:t>
        </w:r>
      </w:hyperlink>
      <w:r w:rsidRPr="00B05A92">
        <w:rPr>
          <w:rFonts w:ascii="Arial" w:eastAsia="SimSun" w:hAnsi="Arial" w:cs="Arial"/>
          <w:color w:val="000000"/>
          <w:kern w:val="0"/>
          <w:sz w:val="19"/>
          <w:szCs w:val="19"/>
        </w:rPr>
        <w:t>.</w:t>
      </w:r>
    </w:p>
    <w:p w:rsidR="00B05A92" w:rsidRPr="00B05A92" w:rsidRDefault="00B05A92" w:rsidP="00B05A92">
      <w:pPr>
        <w:widowControl/>
        <w:jc w:val="right"/>
        <w:rPr>
          <w:rFonts w:ascii="Arial" w:eastAsia="SimSun" w:hAnsi="Arial" w:cs="Arial"/>
          <w:color w:val="000000"/>
          <w:kern w:val="0"/>
          <w:sz w:val="24"/>
          <w:szCs w:val="24"/>
        </w:rPr>
      </w:pPr>
      <w:hyperlink r:id="rId75" w:tooltip="Go to other sections in this page" w:history="1">
        <w:r w:rsidRPr="00B05A92">
          <w:rPr>
            <w:rFonts w:ascii="Arial" w:eastAsia="SimSun" w:hAnsi="Arial" w:cs="Arial"/>
            <w:color w:val="642A8F"/>
            <w:kern w:val="0"/>
            <w:sz w:val="24"/>
            <w:szCs w:val="24"/>
            <w:u w:val="single"/>
          </w:rPr>
          <w:t>Go to:</w:t>
        </w:r>
      </w:hyperlink>
    </w:p>
    <w:p w:rsidR="00B05A92" w:rsidRPr="00B05A92" w:rsidRDefault="00B05A92" w:rsidP="00B05A92">
      <w:pPr>
        <w:widowControl/>
        <w:pBdr>
          <w:bottom w:val="single" w:sz="6" w:space="0" w:color="97B0C8"/>
        </w:pBdr>
        <w:spacing w:before="270" w:line="267" w:lineRule="atLeast"/>
        <w:jc w:val="left"/>
        <w:outlineLvl w:val="1"/>
        <w:rPr>
          <w:rFonts w:ascii="Arial" w:eastAsia="SimSun" w:hAnsi="Arial" w:cs="Arial"/>
          <w:b/>
          <w:bCs/>
          <w:color w:val="985735"/>
          <w:kern w:val="0"/>
          <w:sz w:val="27"/>
          <w:szCs w:val="27"/>
        </w:rPr>
      </w:pPr>
      <w:r w:rsidRPr="00B05A92">
        <w:rPr>
          <w:rFonts w:ascii="Arial" w:eastAsia="SimSun" w:hAnsi="Arial" w:cs="Arial"/>
          <w:b/>
          <w:bCs/>
          <w:color w:val="985735"/>
          <w:kern w:val="0"/>
          <w:sz w:val="27"/>
          <w:szCs w:val="27"/>
        </w:rPr>
        <w:t>References</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1. </w:t>
      </w:r>
      <w:proofErr w:type="spellStart"/>
      <w:r w:rsidRPr="00B05A92">
        <w:rPr>
          <w:rFonts w:ascii="Times New Roman" w:eastAsia="SimSun" w:hAnsi="Times New Roman" w:cs="Times New Roman"/>
          <w:color w:val="000000"/>
          <w:kern w:val="0"/>
          <w:sz w:val="24"/>
          <w:szCs w:val="24"/>
        </w:rPr>
        <w:t>Thackham</w:t>
      </w:r>
      <w:proofErr w:type="spellEnd"/>
      <w:r w:rsidRPr="00B05A92">
        <w:rPr>
          <w:rFonts w:ascii="Times New Roman" w:eastAsia="SimSun" w:hAnsi="Times New Roman" w:cs="Times New Roman"/>
          <w:color w:val="000000"/>
          <w:kern w:val="0"/>
          <w:sz w:val="24"/>
          <w:szCs w:val="24"/>
        </w:rPr>
        <w:t xml:space="preserve"> JA, McElwain DL, Long RJ. The use of hyperbaric oxygen therapy to treat chronic wounds: A review. Wound Repair and Regeneration </w:t>
      </w:r>
      <w:proofErr w:type="gramStart"/>
      <w:r w:rsidRPr="00B05A92">
        <w:rPr>
          <w:rFonts w:ascii="Times New Roman" w:eastAsia="SimSun" w:hAnsi="Times New Roman" w:cs="Times New Roman"/>
          <w:color w:val="000000"/>
          <w:kern w:val="0"/>
          <w:sz w:val="24"/>
          <w:szCs w:val="24"/>
        </w:rPr>
        <w:t>2008;16:321</w:t>
      </w:r>
      <w:proofErr w:type="gramEnd"/>
      <w:r w:rsidRPr="00B05A92">
        <w:rPr>
          <w:rFonts w:ascii="Times New Roman" w:eastAsia="SimSun" w:hAnsi="Times New Roman" w:cs="Times New Roman"/>
          <w:color w:val="000000"/>
          <w:kern w:val="0"/>
          <w:sz w:val="24"/>
          <w:szCs w:val="24"/>
        </w:rPr>
        <w:t>–330 [</w:t>
      </w:r>
      <w:hyperlink r:id="rId76"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 Kessler L, </w:t>
      </w:r>
      <w:proofErr w:type="spellStart"/>
      <w:r w:rsidRPr="00B05A92">
        <w:rPr>
          <w:rFonts w:ascii="Times New Roman" w:eastAsia="SimSun" w:hAnsi="Times New Roman" w:cs="Times New Roman"/>
          <w:color w:val="000000"/>
          <w:kern w:val="0"/>
          <w:sz w:val="24"/>
          <w:szCs w:val="24"/>
        </w:rPr>
        <w:t>Bilbault</w:t>
      </w:r>
      <w:proofErr w:type="spellEnd"/>
      <w:r w:rsidRPr="00B05A92">
        <w:rPr>
          <w:rFonts w:ascii="Times New Roman" w:eastAsia="SimSun" w:hAnsi="Times New Roman" w:cs="Times New Roman"/>
          <w:color w:val="000000"/>
          <w:kern w:val="0"/>
          <w:sz w:val="24"/>
          <w:szCs w:val="24"/>
        </w:rPr>
        <w:t xml:space="preserve"> P, </w:t>
      </w:r>
      <w:proofErr w:type="spellStart"/>
      <w:r w:rsidRPr="00B05A92">
        <w:rPr>
          <w:rFonts w:ascii="Times New Roman" w:eastAsia="SimSun" w:hAnsi="Times New Roman" w:cs="Times New Roman"/>
          <w:color w:val="000000"/>
          <w:kern w:val="0"/>
          <w:sz w:val="24"/>
          <w:szCs w:val="24"/>
        </w:rPr>
        <w:t>Ortéga</w:t>
      </w:r>
      <w:proofErr w:type="spellEnd"/>
      <w:r w:rsidRPr="00B05A92">
        <w:rPr>
          <w:rFonts w:ascii="Times New Roman" w:eastAsia="SimSun" w:hAnsi="Times New Roman" w:cs="Times New Roman"/>
          <w:color w:val="000000"/>
          <w:kern w:val="0"/>
          <w:sz w:val="24"/>
          <w:szCs w:val="24"/>
        </w:rPr>
        <w:t xml:space="preserve"> F, et al. Hyperbaric oxygenation accelerates the healing rate of </w:t>
      </w:r>
      <w:proofErr w:type="spellStart"/>
      <w:r w:rsidRPr="00B05A92">
        <w:rPr>
          <w:rFonts w:ascii="Times New Roman" w:eastAsia="SimSun" w:hAnsi="Times New Roman" w:cs="Times New Roman"/>
          <w:color w:val="000000"/>
          <w:kern w:val="0"/>
          <w:sz w:val="24"/>
          <w:szCs w:val="24"/>
        </w:rPr>
        <w:t>nonischemic</w:t>
      </w:r>
      <w:proofErr w:type="spellEnd"/>
      <w:r w:rsidRPr="00B05A92">
        <w:rPr>
          <w:rFonts w:ascii="Times New Roman" w:eastAsia="SimSun" w:hAnsi="Times New Roman" w:cs="Times New Roman"/>
          <w:color w:val="000000"/>
          <w:kern w:val="0"/>
          <w:sz w:val="24"/>
          <w:szCs w:val="24"/>
        </w:rPr>
        <w:t xml:space="preserve"> chronic diabetic foot ulcers: a prospective randomized study. Diabetes Care </w:t>
      </w:r>
      <w:proofErr w:type="gramStart"/>
      <w:r w:rsidRPr="00B05A92">
        <w:rPr>
          <w:rFonts w:ascii="Times New Roman" w:eastAsia="SimSun" w:hAnsi="Times New Roman" w:cs="Times New Roman"/>
          <w:color w:val="000000"/>
          <w:kern w:val="0"/>
          <w:sz w:val="24"/>
          <w:szCs w:val="24"/>
        </w:rPr>
        <w:t>2003;26:2378</w:t>
      </w:r>
      <w:proofErr w:type="gramEnd"/>
      <w:r w:rsidRPr="00B05A92">
        <w:rPr>
          <w:rFonts w:ascii="Times New Roman" w:eastAsia="SimSun" w:hAnsi="Times New Roman" w:cs="Times New Roman"/>
          <w:color w:val="000000"/>
          <w:kern w:val="0"/>
          <w:sz w:val="24"/>
          <w:szCs w:val="24"/>
        </w:rPr>
        <w:t>–2382 [</w:t>
      </w:r>
      <w:hyperlink r:id="rId77"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3. </w:t>
      </w:r>
      <w:proofErr w:type="spellStart"/>
      <w:r w:rsidRPr="00B05A92">
        <w:rPr>
          <w:rFonts w:ascii="Times New Roman" w:eastAsia="SimSun" w:hAnsi="Times New Roman" w:cs="Times New Roman"/>
          <w:color w:val="000000"/>
          <w:kern w:val="0"/>
          <w:sz w:val="24"/>
          <w:szCs w:val="24"/>
        </w:rPr>
        <w:t>Abidia</w:t>
      </w:r>
      <w:proofErr w:type="spellEnd"/>
      <w:r w:rsidRPr="00B05A92">
        <w:rPr>
          <w:rFonts w:ascii="Times New Roman" w:eastAsia="SimSun" w:hAnsi="Times New Roman" w:cs="Times New Roman"/>
          <w:color w:val="000000"/>
          <w:kern w:val="0"/>
          <w:sz w:val="24"/>
          <w:szCs w:val="24"/>
        </w:rPr>
        <w:t xml:space="preserve"> A, Laden G, </w:t>
      </w:r>
      <w:proofErr w:type="spellStart"/>
      <w:r w:rsidRPr="00B05A92">
        <w:rPr>
          <w:rFonts w:ascii="Times New Roman" w:eastAsia="SimSun" w:hAnsi="Times New Roman" w:cs="Times New Roman"/>
          <w:color w:val="000000"/>
          <w:kern w:val="0"/>
          <w:sz w:val="24"/>
          <w:szCs w:val="24"/>
        </w:rPr>
        <w:t>Kuhan</w:t>
      </w:r>
      <w:proofErr w:type="spellEnd"/>
      <w:r w:rsidRPr="00B05A92">
        <w:rPr>
          <w:rFonts w:ascii="Times New Roman" w:eastAsia="SimSun" w:hAnsi="Times New Roman" w:cs="Times New Roman"/>
          <w:color w:val="000000"/>
          <w:kern w:val="0"/>
          <w:sz w:val="24"/>
          <w:szCs w:val="24"/>
        </w:rPr>
        <w:t xml:space="preserve"> G, et al. The role of hyperbaric oxygen therapy in </w:t>
      </w:r>
      <w:proofErr w:type="spellStart"/>
      <w:r w:rsidRPr="00B05A92">
        <w:rPr>
          <w:rFonts w:ascii="Times New Roman" w:eastAsia="SimSun" w:hAnsi="Times New Roman" w:cs="Times New Roman"/>
          <w:color w:val="000000"/>
          <w:kern w:val="0"/>
          <w:sz w:val="24"/>
          <w:szCs w:val="24"/>
        </w:rPr>
        <w:t>ischaemic</w:t>
      </w:r>
      <w:proofErr w:type="spellEnd"/>
      <w:r w:rsidRPr="00B05A92">
        <w:rPr>
          <w:rFonts w:ascii="Times New Roman" w:eastAsia="SimSun" w:hAnsi="Times New Roman" w:cs="Times New Roman"/>
          <w:color w:val="000000"/>
          <w:kern w:val="0"/>
          <w:sz w:val="24"/>
          <w:szCs w:val="24"/>
        </w:rPr>
        <w:t xml:space="preserve"> diabetic lower extremity ulcers: a double-blind </w:t>
      </w:r>
      <w:proofErr w:type="spellStart"/>
      <w:r w:rsidRPr="00B05A92">
        <w:rPr>
          <w:rFonts w:ascii="Times New Roman" w:eastAsia="SimSun" w:hAnsi="Times New Roman" w:cs="Times New Roman"/>
          <w:color w:val="000000"/>
          <w:kern w:val="0"/>
          <w:sz w:val="24"/>
          <w:szCs w:val="24"/>
        </w:rPr>
        <w:t>randomised</w:t>
      </w:r>
      <w:proofErr w:type="spellEnd"/>
      <w:r w:rsidRPr="00B05A92">
        <w:rPr>
          <w:rFonts w:ascii="Times New Roman" w:eastAsia="SimSun" w:hAnsi="Times New Roman" w:cs="Times New Roman"/>
          <w:color w:val="000000"/>
          <w:kern w:val="0"/>
          <w:sz w:val="24"/>
          <w:szCs w:val="24"/>
        </w:rPr>
        <w:t>-controlled trial. </w:t>
      </w:r>
      <w:proofErr w:type="spellStart"/>
      <w:r w:rsidRPr="00B05A92">
        <w:rPr>
          <w:rFonts w:ascii="Times New Roman" w:eastAsia="SimSun" w:hAnsi="Times New Roman" w:cs="Times New Roman"/>
          <w:color w:val="000000"/>
          <w:kern w:val="0"/>
          <w:sz w:val="24"/>
          <w:szCs w:val="24"/>
        </w:rPr>
        <w:t>Eur</w:t>
      </w:r>
      <w:proofErr w:type="spellEnd"/>
      <w:r w:rsidRPr="00B05A92">
        <w:rPr>
          <w:rFonts w:ascii="Times New Roman" w:eastAsia="SimSun" w:hAnsi="Times New Roman" w:cs="Times New Roman"/>
          <w:color w:val="000000"/>
          <w:kern w:val="0"/>
          <w:sz w:val="24"/>
          <w:szCs w:val="24"/>
        </w:rPr>
        <w:t xml:space="preserve"> J </w:t>
      </w:r>
      <w:proofErr w:type="spellStart"/>
      <w:r w:rsidRPr="00B05A92">
        <w:rPr>
          <w:rFonts w:ascii="Times New Roman" w:eastAsia="SimSun" w:hAnsi="Times New Roman" w:cs="Times New Roman"/>
          <w:color w:val="000000"/>
          <w:kern w:val="0"/>
          <w:sz w:val="24"/>
          <w:szCs w:val="24"/>
        </w:rPr>
        <w:t>Vasc</w:t>
      </w:r>
      <w:proofErr w:type="spellEnd"/>
      <w:r w:rsidRPr="00B05A92">
        <w:rPr>
          <w:rFonts w:ascii="Times New Roman" w:eastAsia="SimSun" w:hAnsi="Times New Roman" w:cs="Times New Roman"/>
          <w:color w:val="000000"/>
          <w:kern w:val="0"/>
          <w:sz w:val="24"/>
          <w:szCs w:val="24"/>
        </w:rPr>
        <w:t xml:space="preserve"> </w:t>
      </w:r>
      <w:proofErr w:type="spellStart"/>
      <w:r w:rsidRPr="00B05A92">
        <w:rPr>
          <w:rFonts w:ascii="Times New Roman" w:eastAsia="SimSun" w:hAnsi="Times New Roman" w:cs="Times New Roman"/>
          <w:color w:val="000000"/>
          <w:kern w:val="0"/>
          <w:sz w:val="24"/>
          <w:szCs w:val="24"/>
        </w:rPr>
        <w:t>Endovasc</w:t>
      </w:r>
      <w:proofErr w:type="spellEnd"/>
      <w:r w:rsidRPr="00B05A92">
        <w:rPr>
          <w:rFonts w:ascii="Times New Roman" w:eastAsia="SimSun" w:hAnsi="Times New Roman" w:cs="Times New Roman"/>
          <w:color w:val="000000"/>
          <w:kern w:val="0"/>
          <w:sz w:val="24"/>
          <w:szCs w:val="24"/>
        </w:rPr>
        <w:t xml:space="preserve"> </w:t>
      </w:r>
      <w:proofErr w:type="spellStart"/>
      <w:r w:rsidRPr="00B05A92">
        <w:rPr>
          <w:rFonts w:ascii="Times New Roman" w:eastAsia="SimSun" w:hAnsi="Times New Roman" w:cs="Times New Roman"/>
          <w:color w:val="000000"/>
          <w:kern w:val="0"/>
          <w:sz w:val="24"/>
          <w:szCs w:val="24"/>
        </w:rPr>
        <w:t>Surg</w:t>
      </w:r>
      <w:proofErr w:type="spellEnd"/>
      <w:r w:rsidRPr="00B05A92">
        <w:rPr>
          <w:rFonts w:ascii="Times New Roman" w:eastAsia="SimSun" w:hAnsi="Times New Roman" w:cs="Times New Roman"/>
          <w:color w:val="000000"/>
          <w:kern w:val="0"/>
          <w:sz w:val="24"/>
          <w:szCs w:val="24"/>
        </w:rPr>
        <w:t> </w:t>
      </w:r>
      <w:proofErr w:type="gramStart"/>
      <w:r w:rsidRPr="00B05A92">
        <w:rPr>
          <w:rFonts w:ascii="Times New Roman" w:eastAsia="SimSun" w:hAnsi="Times New Roman" w:cs="Times New Roman"/>
          <w:color w:val="000000"/>
          <w:kern w:val="0"/>
          <w:sz w:val="24"/>
          <w:szCs w:val="24"/>
        </w:rPr>
        <w:t>2003;25:513</w:t>
      </w:r>
      <w:proofErr w:type="gramEnd"/>
      <w:r w:rsidRPr="00B05A92">
        <w:rPr>
          <w:rFonts w:ascii="Times New Roman" w:eastAsia="SimSun" w:hAnsi="Times New Roman" w:cs="Times New Roman"/>
          <w:color w:val="000000"/>
          <w:kern w:val="0"/>
          <w:sz w:val="24"/>
          <w:szCs w:val="24"/>
        </w:rPr>
        <w:t>–518[</w:t>
      </w:r>
      <w:hyperlink r:id="rId78"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4. </w:t>
      </w:r>
      <w:proofErr w:type="spellStart"/>
      <w:r w:rsidRPr="00B05A92">
        <w:rPr>
          <w:rFonts w:ascii="Times New Roman" w:eastAsia="SimSun" w:hAnsi="Times New Roman" w:cs="Times New Roman"/>
          <w:color w:val="000000"/>
          <w:kern w:val="0"/>
          <w:sz w:val="24"/>
          <w:szCs w:val="24"/>
        </w:rPr>
        <w:t>Faglia</w:t>
      </w:r>
      <w:proofErr w:type="spellEnd"/>
      <w:r w:rsidRPr="00B05A92">
        <w:rPr>
          <w:rFonts w:ascii="Times New Roman" w:eastAsia="SimSun" w:hAnsi="Times New Roman" w:cs="Times New Roman"/>
          <w:color w:val="000000"/>
          <w:kern w:val="0"/>
          <w:sz w:val="24"/>
          <w:szCs w:val="24"/>
        </w:rPr>
        <w:t xml:space="preserve"> E, </w:t>
      </w:r>
      <w:proofErr w:type="spellStart"/>
      <w:r w:rsidRPr="00B05A92">
        <w:rPr>
          <w:rFonts w:ascii="Times New Roman" w:eastAsia="SimSun" w:hAnsi="Times New Roman" w:cs="Times New Roman"/>
          <w:color w:val="000000"/>
          <w:kern w:val="0"/>
          <w:sz w:val="24"/>
          <w:szCs w:val="24"/>
        </w:rPr>
        <w:t>Favales</w:t>
      </w:r>
      <w:proofErr w:type="spellEnd"/>
      <w:r w:rsidRPr="00B05A92">
        <w:rPr>
          <w:rFonts w:ascii="Times New Roman" w:eastAsia="SimSun" w:hAnsi="Times New Roman" w:cs="Times New Roman"/>
          <w:color w:val="000000"/>
          <w:kern w:val="0"/>
          <w:sz w:val="24"/>
          <w:szCs w:val="24"/>
        </w:rPr>
        <w:t xml:space="preserve"> F, </w:t>
      </w:r>
      <w:proofErr w:type="spellStart"/>
      <w:r w:rsidRPr="00B05A92">
        <w:rPr>
          <w:rFonts w:ascii="Times New Roman" w:eastAsia="SimSun" w:hAnsi="Times New Roman" w:cs="Times New Roman"/>
          <w:color w:val="000000"/>
          <w:kern w:val="0"/>
          <w:sz w:val="24"/>
          <w:szCs w:val="24"/>
        </w:rPr>
        <w:t>Aldeghi</w:t>
      </w:r>
      <w:proofErr w:type="spellEnd"/>
      <w:r w:rsidRPr="00B05A92">
        <w:rPr>
          <w:rFonts w:ascii="Times New Roman" w:eastAsia="SimSun" w:hAnsi="Times New Roman" w:cs="Times New Roman"/>
          <w:color w:val="000000"/>
          <w:kern w:val="0"/>
          <w:sz w:val="24"/>
          <w:szCs w:val="24"/>
        </w:rPr>
        <w:t xml:space="preserve"> A, et al. Adjunctive systemic hyperbaric oxygen therapy in treatment of severe prevalently ischemic diabetic foot ulcer. A randomized study. Diabetes Care </w:t>
      </w:r>
      <w:proofErr w:type="gramStart"/>
      <w:r w:rsidRPr="00B05A92">
        <w:rPr>
          <w:rFonts w:ascii="Times New Roman" w:eastAsia="SimSun" w:hAnsi="Times New Roman" w:cs="Times New Roman"/>
          <w:color w:val="000000"/>
          <w:kern w:val="0"/>
          <w:sz w:val="24"/>
          <w:szCs w:val="24"/>
        </w:rPr>
        <w:t>1996;19:1338</w:t>
      </w:r>
      <w:proofErr w:type="gramEnd"/>
      <w:r w:rsidRPr="00B05A92">
        <w:rPr>
          <w:rFonts w:ascii="Times New Roman" w:eastAsia="SimSun" w:hAnsi="Times New Roman" w:cs="Times New Roman"/>
          <w:color w:val="000000"/>
          <w:kern w:val="0"/>
          <w:sz w:val="24"/>
          <w:szCs w:val="24"/>
        </w:rPr>
        <w:t>–1343 [see comment] [</w:t>
      </w:r>
      <w:hyperlink r:id="rId79"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5. Doctor N, Pandya S, </w:t>
      </w:r>
      <w:proofErr w:type="spellStart"/>
      <w:r w:rsidRPr="00B05A92">
        <w:rPr>
          <w:rFonts w:ascii="Times New Roman" w:eastAsia="SimSun" w:hAnsi="Times New Roman" w:cs="Times New Roman"/>
          <w:color w:val="000000"/>
          <w:kern w:val="0"/>
          <w:sz w:val="24"/>
          <w:szCs w:val="24"/>
        </w:rPr>
        <w:t>Supe</w:t>
      </w:r>
      <w:proofErr w:type="spellEnd"/>
      <w:r w:rsidRPr="00B05A92">
        <w:rPr>
          <w:rFonts w:ascii="Times New Roman" w:eastAsia="SimSun" w:hAnsi="Times New Roman" w:cs="Times New Roman"/>
          <w:color w:val="000000"/>
          <w:kern w:val="0"/>
          <w:sz w:val="24"/>
          <w:szCs w:val="24"/>
        </w:rPr>
        <w:t xml:space="preserve"> A. Hyperbaric oxygen therapy in diabetic foot. J Postgrad Med 1992:38:112-114, 111 [</w:t>
      </w:r>
      <w:hyperlink r:id="rId80"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6. Hinchliffe RJ, </w:t>
      </w:r>
      <w:proofErr w:type="spellStart"/>
      <w:r w:rsidRPr="00B05A92">
        <w:rPr>
          <w:rFonts w:ascii="Times New Roman" w:eastAsia="SimSun" w:hAnsi="Times New Roman" w:cs="Times New Roman"/>
          <w:color w:val="000000"/>
          <w:kern w:val="0"/>
          <w:sz w:val="24"/>
          <w:szCs w:val="24"/>
        </w:rPr>
        <w:t>Apelqvist</w:t>
      </w:r>
      <w:proofErr w:type="spellEnd"/>
      <w:r w:rsidRPr="00B05A92">
        <w:rPr>
          <w:rFonts w:ascii="Times New Roman" w:eastAsia="SimSun" w:hAnsi="Times New Roman" w:cs="Times New Roman"/>
          <w:color w:val="000000"/>
          <w:kern w:val="0"/>
          <w:sz w:val="24"/>
          <w:szCs w:val="24"/>
        </w:rPr>
        <w:t xml:space="preserve"> VJ, Armstrong DG, </w:t>
      </w:r>
      <w:proofErr w:type="spellStart"/>
      <w:r w:rsidRPr="00B05A92">
        <w:rPr>
          <w:rFonts w:ascii="Times New Roman" w:eastAsia="SimSun" w:hAnsi="Times New Roman" w:cs="Times New Roman"/>
          <w:color w:val="000000"/>
          <w:kern w:val="0"/>
          <w:sz w:val="24"/>
          <w:szCs w:val="24"/>
        </w:rPr>
        <w:t>Hartemann-Heurtier</w:t>
      </w:r>
      <w:proofErr w:type="spellEnd"/>
      <w:r w:rsidRPr="00B05A92">
        <w:rPr>
          <w:rFonts w:ascii="Times New Roman" w:eastAsia="SimSun" w:hAnsi="Times New Roman" w:cs="Times New Roman"/>
          <w:color w:val="000000"/>
          <w:kern w:val="0"/>
          <w:sz w:val="24"/>
          <w:szCs w:val="24"/>
        </w:rPr>
        <w:t xml:space="preserve"> A., </w:t>
      </w:r>
      <w:proofErr w:type="spellStart"/>
      <w:r w:rsidRPr="00B05A92">
        <w:rPr>
          <w:rFonts w:ascii="Times New Roman" w:eastAsia="SimSun" w:hAnsi="Times New Roman" w:cs="Times New Roman"/>
          <w:color w:val="000000"/>
          <w:kern w:val="0"/>
          <w:sz w:val="24"/>
          <w:szCs w:val="24"/>
        </w:rPr>
        <w:t>Londahl</w:t>
      </w:r>
      <w:proofErr w:type="spellEnd"/>
      <w:r w:rsidRPr="00B05A92">
        <w:rPr>
          <w:rFonts w:ascii="Times New Roman" w:eastAsia="SimSun" w:hAnsi="Times New Roman" w:cs="Times New Roman"/>
          <w:color w:val="000000"/>
          <w:kern w:val="0"/>
          <w:sz w:val="24"/>
          <w:szCs w:val="24"/>
        </w:rPr>
        <w:t xml:space="preserve"> M, Price PE, van </w:t>
      </w:r>
      <w:proofErr w:type="spellStart"/>
      <w:r w:rsidRPr="00B05A92">
        <w:rPr>
          <w:rFonts w:ascii="Times New Roman" w:eastAsia="SimSun" w:hAnsi="Times New Roman" w:cs="Times New Roman"/>
          <w:color w:val="000000"/>
          <w:kern w:val="0"/>
          <w:sz w:val="24"/>
          <w:szCs w:val="24"/>
        </w:rPr>
        <w:t>Hourtum</w:t>
      </w:r>
      <w:proofErr w:type="spellEnd"/>
      <w:r w:rsidRPr="00B05A92">
        <w:rPr>
          <w:rFonts w:ascii="Times New Roman" w:eastAsia="SimSun" w:hAnsi="Times New Roman" w:cs="Times New Roman"/>
          <w:color w:val="000000"/>
          <w:kern w:val="0"/>
          <w:sz w:val="24"/>
          <w:szCs w:val="24"/>
        </w:rPr>
        <w:t xml:space="preserve"> WH, </w:t>
      </w:r>
      <w:proofErr w:type="spellStart"/>
      <w:r w:rsidRPr="00B05A92">
        <w:rPr>
          <w:rFonts w:ascii="Times New Roman" w:eastAsia="SimSun" w:hAnsi="Times New Roman" w:cs="Times New Roman"/>
          <w:color w:val="000000"/>
          <w:kern w:val="0"/>
          <w:sz w:val="24"/>
          <w:szCs w:val="24"/>
        </w:rPr>
        <w:t>Jeffcoate</w:t>
      </w:r>
      <w:proofErr w:type="spellEnd"/>
      <w:r w:rsidRPr="00B05A92">
        <w:rPr>
          <w:rFonts w:ascii="Times New Roman" w:eastAsia="SimSun" w:hAnsi="Times New Roman" w:cs="Times New Roman"/>
          <w:color w:val="000000"/>
          <w:kern w:val="0"/>
          <w:sz w:val="24"/>
          <w:szCs w:val="24"/>
        </w:rPr>
        <w:t xml:space="preserve"> WJ. A systematic review of the effectiveness of interventions to enhance the healing of chronic ulcers in the foot in diabetes. Diabetes </w:t>
      </w:r>
      <w:proofErr w:type="spellStart"/>
      <w:r w:rsidRPr="00B05A92">
        <w:rPr>
          <w:rFonts w:ascii="Times New Roman" w:eastAsia="SimSun" w:hAnsi="Times New Roman" w:cs="Times New Roman"/>
          <w:color w:val="000000"/>
          <w:kern w:val="0"/>
          <w:sz w:val="24"/>
          <w:szCs w:val="24"/>
        </w:rPr>
        <w:t>Metab</w:t>
      </w:r>
      <w:proofErr w:type="spellEnd"/>
      <w:r w:rsidRPr="00B05A92">
        <w:rPr>
          <w:rFonts w:ascii="Times New Roman" w:eastAsia="SimSun" w:hAnsi="Times New Roman" w:cs="Times New Roman"/>
          <w:color w:val="000000"/>
          <w:kern w:val="0"/>
          <w:sz w:val="24"/>
          <w:szCs w:val="24"/>
        </w:rPr>
        <w:t xml:space="preserve"> Res Rev 2008;24(</w:t>
      </w:r>
      <w:proofErr w:type="spellStart"/>
      <w:r w:rsidRPr="00B05A92">
        <w:rPr>
          <w:rFonts w:ascii="Times New Roman" w:eastAsia="SimSun" w:hAnsi="Times New Roman" w:cs="Times New Roman"/>
          <w:color w:val="000000"/>
          <w:kern w:val="0"/>
          <w:sz w:val="24"/>
          <w:szCs w:val="24"/>
        </w:rPr>
        <w:t>Suppl</w:t>
      </w:r>
      <w:proofErr w:type="spellEnd"/>
      <w:proofErr w:type="gramStart"/>
      <w:r w:rsidRPr="00B05A92">
        <w:rPr>
          <w:rFonts w:ascii="Times New Roman" w:eastAsia="SimSun" w:hAnsi="Times New Roman" w:cs="Times New Roman"/>
          <w:color w:val="000000"/>
          <w:kern w:val="0"/>
          <w:sz w:val="24"/>
          <w:szCs w:val="24"/>
        </w:rPr>
        <w:t>):S</w:t>
      </w:r>
      <w:proofErr w:type="gramEnd"/>
      <w:r w:rsidRPr="00B05A92">
        <w:rPr>
          <w:rFonts w:ascii="Times New Roman" w:eastAsia="SimSun" w:hAnsi="Times New Roman" w:cs="Times New Roman"/>
          <w:color w:val="000000"/>
          <w:kern w:val="0"/>
          <w:sz w:val="24"/>
          <w:szCs w:val="24"/>
        </w:rPr>
        <w:t>119–S144[</w:t>
      </w:r>
      <w:hyperlink r:id="rId81"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7. </w:t>
      </w:r>
      <w:proofErr w:type="spellStart"/>
      <w:r w:rsidRPr="00B05A92">
        <w:rPr>
          <w:rFonts w:ascii="Times New Roman" w:eastAsia="SimSun" w:hAnsi="Times New Roman" w:cs="Times New Roman"/>
          <w:color w:val="000000"/>
          <w:kern w:val="0"/>
          <w:sz w:val="24"/>
          <w:szCs w:val="24"/>
        </w:rPr>
        <w:t>Löndahl</w:t>
      </w:r>
      <w:proofErr w:type="spellEnd"/>
      <w:r w:rsidRPr="00B05A92">
        <w:rPr>
          <w:rFonts w:ascii="Times New Roman" w:eastAsia="SimSun" w:hAnsi="Times New Roman" w:cs="Times New Roman"/>
          <w:color w:val="000000"/>
          <w:kern w:val="0"/>
          <w:sz w:val="24"/>
          <w:szCs w:val="24"/>
        </w:rPr>
        <w:t xml:space="preserve"> M, Katzman P, Nilsson A, Hammarlund C. Hyperbaric oxygen therapy facilitates healing of chronic foot ulcers in patients with diabetes. Diabetes Care 2010;33:998–1003 [</w:t>
      </w:r>
      <w:hyperlink r:id="rId82" w:history="1">
        <w:r w:rsidRPr="00B05A92">
          <w:rPr>
            <w:rFonts w:ascii="Times New Roman" w:eastAsia="SimSun" w:hAnsi="Times New Roman" w:cs="Times New Roman"/>
            <w:color w:val="642A8F"/>
            <w:kern w:val="0"/>
            <w:sz w:val="24"/>
            <w:szCs w:val="24"/>
            <w:u w:val="single"/>
          </w:rPr>
          <w:t>PMC free article</w:t>
        </w:r>
      </w:hyperlink>
      <w:r w:rsidRPr="00B05A92">
        <w:rPr>
          <w:rFonts w:ascii="Times New Roman" w:eastAsia="SimSun" w:hAnsi="Times New Roman" w:cs="Times New Roman"/>
          <w:color w:val="000000"/>
          <w:kern w:val="0"/>
          <w:sz w:val="24"/>
          <w:szCs w:val="24"/>
        </w:rPr>
        <w:t>][</w:t>
      </w:r>
      <w:hyperlink r:id="rId83"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8. </w:t>
      </w:r>
      <w:proofErr w:type="spellStart"/>
      <w:r w:rsidRPr="00B05A92">
        <w:rPr>
          <w:rFonts w:ascii="Times New Roman" w:eastAsia="SimSun" w:hAnsi="Times New Roman" w:cs="Times New Roman"/>
          <w:color w:val="000000"/>
          <w:kern w:val="0"/>
          <w:sz w:val="24"/>
          <w:szCs w:val="24"/>
        </w:rPr>
        <w:t>Kranke</w:t>
      </w:r>
      <w:proofErr w:type="spellEnd"/>
      <w:r w:rsidRPr="00B05A92">
        <w:rPr>
          <w:rFonts w:ascii="Times New Roman" w:eastAsia="SimSun" w:hAnsi="Times New Roman" w:cs="Times New Roman"/>
          <w:color w:val="000000"/>
          <w:kern w:val="0"/>
          <w:sz w:val="24"/>
          <w:szCs w:val="24"/>
        </w:rPr>
        <w:t xml:space="preserve"> P, Bennett MH, Martyn-St James M, Debus SE. Hyperbaric oxygen therapy for chronic wounds. Cochrane Database of Systematic Reviews 2012. 10.1002/14651858.CD004123.pub3 [</w:t>
      </w:r>
      <w:hyperlink r:id="rId84"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hyperlink r:id="rId85" w:tgtFrame="pmc_ext" w:history="1">
        <w:r w:rsidRPr="00B05A92">
          <w:rPr>
            <w:rFonts w:ascii="Times New Roman" w:eastAsia="SimSun" w:hAnsi="Times New Roman" w:cs="Times New Roman"/>
            <w:color w:val="642A8F"/>
            <w:kern w:val="0"/>
            <w:sz w:val="24"/>
            <w:szCs w:val="24"/>
            <w:u w:val="single"/>
          </w:rPr>
          <w:t>Cross Ref</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lastRenderedPageBreak/>
        <w:t xml:space="preserve">9. Rosenbaum PR, Rubin DB. Reducing bias in observational studies using </w:t>
      </w:r>
      <w:proofErr w:type="spellStart"/>
      <w:r w:rsidRPr="00B05A92">
        <w:rPr>
          <w:rFonts w:ascii="Times New Roman" w:eastAsia="SimSun" w:hAnsi="Times New Roman" w:cs="Times New Roman"/>
          <w:color w:val="000000"/>
          <w:kern w:val="0"/>
          <w:sz w:val="24"/>
          <w:szCs w:val="24"/>
        </w:rPr>
        <w:t>subclassification</w:t>
      </w:r>
      <w:proofErr w:type="spellEnd"/>
      <w:r w:rsidRPr="00B05A92">
        <w:rPr>
          <w:rFonts w:ascii="Times New Roman" w:eastAsia="SimSun" w:hAnsi="Times New Roman" w:cs="Times New Roman"/>
          <w:color w:val="000000"/>
          <w:kern w:val="0"/>
          <w:sz w:val="24"/>
          <w:szCs w:val="24"/>
        </w:rPr>
        <w:t xml:space="preserve"> on the propensity score. J Am Stat </w:t>
      </w:r>
      <w:proofErr w:type="spellStart"/>
      <w:r w:rsidRPr="00B05A92">
        <w:rPr>
          <w:rFonts w:ascii="Times New Roman" w:eastAsia="SimSun" w:hAnsi="Times New Roman" w:cs="Times New Roman"/>
          <w:color w:val="000000"/>
          <w:kern w:val="0"/>
          <w:sz w:val="24"/>
          <w:szCs w:val="24"/>
        </w:rPr>
        <w:t>Assoc</w:t>
      </w:r>
      <w:proofErr w:type="spellEnd"/>
      <w:r w:rsidRPr="00B05A92">
        <w:rPr>
          <w:rFonts w:ascii="Times New Roman" w:eastAsia="SimSun" w:hAnsi="Times New Roman" w:cs="Times New Roman"/>
          <w:color w:val="000000"/>
          <w:kern w:val="0"/>
          <w:sz w:val="24"/>
          <w:szCs w:val="24"/>
        </w:rPr>
        <w:t> </w:t>
      </w:r>
      <w:proofErr w:type="gramStart"/>
      <w:r w:rsidRPr="00B05A92">
        <w:rPr>
          <w:rFonts w:ascii="Times New Roman" w:eastAsia="SimSun" w:hAnsi="Times New Roman" w:cs="Times New Roman"/>
          <w:color w:val="000000"/>
          <w:kern w:val="0"/>
          <w:sz w:val="24"/>
          <w:szCs w:val="24"/>
        </w:rPr>
        <w:t>1984;79:516</w:t>
      </w:r>
      <w:proofErr w:type="gramEnd"/>
      <w:r w:rsidRPr="00B05A92">
        <w:rPr>
          <w:rFonts w:ascii="Times New Roman" w:eastAsia="SimSun" w:hAnsi="Times New Roman" w:cs="Times New Roman"/>
          <w:color w:val="000000"/>
          <w:kern w:val="0"/>
          <w:sz w:val="24"/>
          <w:szCs w:val="24"/>
        </w:rPr>
        <w:t>–524</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10. Hyperbaric oxygen therapy for refractory wounds. Med Lett Drugs </w:t>
      </w:r>
      <w:proofErr w:type="spellStart"/>
      <w:r w:rsidRPr="00B05A92">
        <w:rPr>
          <w:rFonts w:ascii="Times New Roman" w:eastAsia="SimSun" w:hAnsi="Times New Roman" w:cs="Times New Roman"/>
          <w:color w:val="000000"/>
          <w:kern w:val="0"/>
          <w:sz w:val="24"/>
          <w:szCs w:val="24"/>
        </w:rPr>
        <w:t>Ther</w:t>
      </w:r>
      <w:proofErr w:type="spellEnd"/>
      <w:r w:rsidRPr="00B05A92">
        <w:rPr>
          <w:rFonts w:ascii="Times New Roman" w:eastAsia="SimSun" w:hAnsi="Times New Roman" w:cs="Times New Roman"/>
          <w:color w:val="000000"/>
          <w:kern w:val="0"/>
          <w:sz w:val="24"/>
          <w:szCs w:val="24"/>
        </w:rPr>
        <w:t> </w:t>
      </w:r>
      <w:proofErr w:type="gramStart"/>
      <w:r w:rsidRPr="00B05A92">
        <w:rPr>
          <w:rFonts w:ascii="Times New Roman" w:eastAsia="SimSun" w:hAnsi="Times New Roman" w:cs="Times New Roman"/>
          <w:color w:val="000000"/>
          <w:kern w:val="0"/>
          <w:sz w:val="24"/>
          <w:szCs w:val="24"/>
        </w:rPr>
        <w:t>2010;52:19</w:t>
      </w:r>
      <w:proofErr w:type="gramEnd"/>
      <w:r w:rsidRPr="00B05A92">
        <w:rPr>
          <w:rFonts w:ascii="Times New Roman" w:eastAsia="SimSun" w:hAnsi="Times New Roman" w:cs="Times New Roman"/>
          <w:color w:val="000000"/>
          <w:kern w:val="0"/>
          <w:sz w:val="24"/>
          <w:szCs w:val="24"/>
        </w:rPr>
        <w:t>–20 [</w:t>
      </w:r>
      <w:hyperlink r:id="rId86"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11. </w:t>
      </w:r>
      <w:proofErr w:type="spellStart"/>
      <w:r w:rsidRPr="00B05A92">
        <w:rPr>
          <w:rFonts w:ascii="Times New Roman" w:eastAsia="SimSun" w:hAnsi="Times New Roman" w:cs="Times New Roman"/>
          <w:color w:val="000000"/>
          <w:kern w:val="0"/>
          <w:sz w:val="24"/>
          <w:szCs w:val="24"/>
        </w:rPr>
        <w:t>Eaglstein</w:t>
      </w:r>
      <w:proofErr w:type="spellEnd"/>
      <w:r w:rsidRPr="00B05A92">
        <w:rPr>
          <w:rFonts w:ascii="Times New Roman" w:eastAsia="SimSun" w:hAnsi="Times New Roman" w:cs="Times New Roman"/>
          <w:color w:val="000000"/>
          <w:kern w:val="0"/>
          <w:sz w:val="24"/>
          <w:szCs w:val="24"/>
        </w:rPr>
        <w:t xml:space="preserve"> WH, </w:t>
      </w:r>
      <w:proofErr w:type="spellStart"/>
      <w:r w:rsidRPr="00B05A92">
        <w:rPr>
          <w:rFonts w:ascii="Times New Roman" w:eastAsia="SimSun" w:hAnsi="Times New Roman" w:cs="Times New Roman"/>
          <w:color w:val="000000"/>
          <w:kern w:val="0"/>
          <w:sz w:val="24"/>
          <w:szCs w:val="24"/>
        </w:rPr>
        <w:t>Kirsner</w:t>
      </w:r>
      <w:proofErr w:type="spellEnd"/>
      <w:r w:rsidRPr="00B05A92">
        <w:rPr>
          <w:rFonts w:ascii="Times New Roman" w:eastAsia="SimSun" w:hAnsi="Times New Roman" w:cs="Times New Roman"/>
          <w:color w:val="000000"/>
          <w:kern w:val="0"/>
          <w:sz w:val="24"/>
          <w:szCs w:val="24"/>
        </w:rPr>
        <w:t xml:space="preserve"> RS, Robson MC. Food and Drug Administration (FDA) drug approval end points for chronic cutaneous ulcer studies. Wound Repair Regen </w:t>
      </w:r>
      <w:proofErr w:type="gramStart"/>
      <w:r w:rsidRPr="00B05A92">
        <w:rPr>
          <w:rFonts w:ascii="Times New Roman" w:eastAsia="SimSun" w:hAnsi="Times New Roman" w:cs="Times New Roman"/>
          <w:color w:val="000000"/>
          <w:kern w:val="0"/>
          <w:sz w:val="24"/>
          <w:szCs w:val="24"/>
        </w:rPr>
        <w:t>2012;20:793</w:t>
      </w:r>
      <w:proofErr w:type="gramEnd"/>
      <w:r w:rsidRPr="00B05A92">
        <w:rPr>
          <w:rFonts w:ascii="Times New Roman" w:eastAsia="SimSun" w:hAnsi="Times New Roman" w:cs="Times New Roman"/>
          <w:color w:val="000000"/>
          <w:kern w:val="0"/>
          <w:sz w:val="24"/>
          <w:szCs w:val="24"/>
        </w:rPr>
        <w:t>–796 [</w:t>
      </w:r>
      <w:hyperlink r:id="rId87"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12. Food and Drug Administration, editor; Guidance for industry: Chronic cutaneous ulcer and burn wounds—developing products for treatment. Food and Drug </w:t>
      </w:r>
      <w:proofErr w:type="spellStart"/>
      <w:r w:rsidRPr="00B05A92">
        <w:rPr>
          <w:rFonts w:ascii="Times New Roman" w:eastAsia="SimSun" w:hAnsi="Times New Roman" w:cs="Times New Roman"/>
          <w:color w:val="000000"/>
          <w:kern w:val="0"/>
          <w:sz w:val="24"/>
          <w:szCs w:val="24"/>
        </w:rPr>
        <w:t>Administratio</w:t>
      </w:r>
      <w:proofErr w:type="spellEnd"/>
      <w:r w:rsidRPr="00B05A92">
        <w:rPr>
          <w:rFonts w:ascii="Times New Roman" w:eastAsia="SimSun" w:hAnsi="Times New Roman" w:cs="Times New Roman"/>
          <w:color w:val="000000"/>
          <w:kern w:val="0"/>
          <w:sz w:val="24"/>
          <w:szCs w:val="24"/>
        </w:rPr>
        <w:t xml:space="preserve"> n, 2006, p. 1–18</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13. </w:t>
      </w:r>
      <w:proofErr w:type="spellStart"/>
      <w:r w:rsidRPr="00B05A92">
        <w:rPr>
          <w:rFonts w:ascii="Times New Roman" w:eastAsia="SimSun" w:hAnsi="Times New Roman" w:cs="Times New Roman"/>
          <w:color w:val="000000"/>
          <w:kern w:val="0"/>
          <w:sz w:val="24"/>
          <w:szCs w:val="24"/>
        </w:rPr>
        <w:t>Haily</w:t>
      </w:r>
      <w:proofErr w:type="spellEnd"/>
      <w:r w:rsidRPr="00B05A92">
        <w:rPr>
          <w:rFonts w:ascii="Times New Roman" w:eastAsia="SimSun" w:hAnsi="Times New Roman" w:cs="Times New Roman"/>
          <w:color w:val="000000"/>
          <w:kern w:val="0"/>
          <w:sz w:val="24"/>
          <w:szCs w:val="24"/>
        </w:rPr>
        <w:t xml:space="preserve"> D, Jacobs P, Perry DC, Chuck A, Morrison A, Boudreau R. Overview of adjunctive hyperbaric oxygen therapy for diabetic foot ulcer. Ottawa, Canada, Agency for Drugs and Technologies in Health, 2007, p. 1–6</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14. Margolis DJ, </w:t>
      </w:r>
      <w:proofErr w:type="spellStart"/>
      <w:r w:rsidRPr="00B05A92">
        <w:rPr>
          <w:rFonts w:ascii="Times New Roman" w:eastAsia="SimSun" w:hAnsi="Times New Roman" w:cs="Times New Roman"/>
          <w:color w:val="000000"/>
          <w:kern w:val="0"/>
          <w:sz w:val="24"/>
          <w:szCs w:val="24"/>
        </w:rPr>
        <w:t>Bartus</w:t>
      </w:r>
      <w:proofErr w:type="spellEnd"/>
      <w:r w:rsidRPr="00B05A92">
        <w:rPr>
          <w:rFonts w:ascii="Times New Roman" w:eastAsia="SimSun" w:hAnsi="Times New Roman" w:cs="Times New Roman"/>
          <w:color w:val="000000"/>
          <w:kern w:val="0"/>
          <w:sz w:val="24"/>
          <w:szCs w:val="24"/>
        </w:rPr>
        <w:t xml:space="preserve"> C, </w:t>
      </w:r>
      <w:proofErr w:type="spellStart"/>
      <w:r w:rsidRPr="00B05A92">
        <w:rPr>
          <w:rFonts w:ascii="Times New Roman" w:eastAsia="SimSun" w:hAnsi="Times New Roman" w:cs="Times New Roman"/>
          <w:color w:val="000000"/>
          <w:kern w:val="0"/>
          <w:sz w:val="24"/>
          <w:szCs w:val="24"/>
        </w:rPr>
        <w:t>Hoffstad</w:t>
      </w:r>
      <w:proofErr w:type="spellEnd"/>
      <w:r w:rsidRPr="00B05A92">
        <w:rPr>
          <w:rFonts w:ascii="Times New Roman" w:eastAsia="SimSun" w:hAnsi="Times New Roman" w:cs="Times New Roman"/>
          <w:color w:val="000000"/>
          <w:kern w:val="0"/>
          <w:sz w:val="24"/>
          <w:szCs w:val="24"/>
        </w:rPr>
        <w:t xml:space="preserve"> O, Malay S, Berlin JA. Effectiveness of recombinant human platelet-derived growth factor for the treatment of diabetic neuropathic foot ulcers. Wound Repair Regen</w:t>
      </w:r>
      <w:proofErr w:type="gramStart"/>
      <w:r w:rsidRPr="00B05A92">
        <w:rPr>
          <w:rFonts w:ascii="Times New Roman" w:eastAsia="SimSun" w:hAnsi="Times New Roman" w:cs="Times New Roman"/>
          <w:color w:val="000000"/>
          <w:kern w:val="0"/>
          <w:sz w:val="24"/>
          <w:szCs w:val="24"/>
        </w:rPr>
        <w:t>2005;13:531</w:t>
      </w:r>
      <w:proofErr w:type="gramEnd"/>
      <w:r w:rsidRPr="00B05A92">
        <w:rPr>
          <w:rFonts w:ascii="Times New Roman" w:eastAsia="SimSun" w:hAnsi="Times New Roman" w:cs="Times New Roman"/>
          <w:color w:val="000000"/>
          <w:kern w:val="0"/>
          <w:sz w:val="24"/>
          <w:szCs w:val="24"/>
        </w:rPr>
        <w:t>–536 [</w:t>
      </w:r>
      <w:hyperlink r:id="rId88"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15. Margolis DJ, Allen-Taylor L, </w:t>
      </w:r>
      <w:proofErr w:type="spellStart"/>
      <w:r w:rsidRPr="00B05A92">
        <w:rPr>
          <w:rFonts w:ascii="Times New Roman" w:eastAsia="SimSun" w:hAnsi="Times New Roman" w:cs="Times New Roman"/>
          <w:color w:val="000000"/>
          <w:kern w:val="0"/>
          <w:sz w:val="24"/>
          <w:szCs w:val="24"/>
        </w:rPr>
        <w:t>Hoffstad</w:t>
      </w:r>
      <w:proofErr w:type="spellEnd"/>
      <w:r w:rsidRPr="00B05A92">
        <w:rPr>
          <w:rFonts w:ascii="Times New Roman" w:eastAsia="SimSun" w:hAnsi="Times New Roman" w:cs="Times New Roman"/>
          <w:color w:val="000000"/>
          <w:kern w:val="0"/>
          <w:sz w:val="24"/>
          <w:szCs w:val="24"/>
        </w:rPr>
        <w:t xml:space="preserve"> O, Berlin JA. Diabetic neuropathic foot ulcers: predicting which ones will not heal. Am J Med </w:t>
      </w:r>
      <w:proofErr w:type="gramStart"/>
      <w:r w:rsidRPr="00B05A92">
        <w:rPr>
          <w:rFonts w:ascii="Times New Roman" w:eastAsia="SimSun" w:hAnsi="Times New Roman" w:cs="Times New Roman"/>
          <w:color w:val="000000"/>
          <w:kern w:val="0"/>
          <w:sz w:val="24"/>
          <w:szCs w:val="24"/>
        </w:rPr>
        <w:t>2003;115:627</w:t>
      </w:r>
      <w:proofErr w:type="gramEnd"/>
      <w:r w:rsidRPr="00B05A92">
        <w:rPr>
          <w:rFonts w:ascii="Times New Roman" w:eastAsia="SimSun" w:hAnsi="Times New Roman" w:cs="Times New Roman"/>
          <w:color w:val="000000"/>
          <w:kern w:val="0"/>
          <w:sz w:val="24"/>
          <w:szCs w:val="24"/>
        </w:rPr>
        <w:t>–631 [</w:t>
      </w:r>
      <w:hyperlink r:id="rId89"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16. Margolis DJ, Allen-Taylor L, </w:t>
      </w:r>
      <w:proofErr w:type="spellStart"/>
      <w:r w:rsidRPr="00B05A92">
        <w:rPr>
          <w:rFonts w:ascii="Times New Roman" w:eastAsia="SimSun" w:hAnsi="Times New Roman" w:cs="Times New Roman"/>
          <w:color w:val="000000"/>
          <w:kern w:val="0"/>
          <w:sz w:val="24"/>
          <w:szCs w:val="24"/>
        </w:rPr>
        <w:t>Hoffstad</w:t>
      </w:r>
      <w:proofErr w:type="spellEnd"/>
      <w:r w:rsidRPr="00B05A92">
        <w:rPr>
          <w:rFonts w:ascii="Times New Roman" w:eastAsia="SimSun" w:hAnsi="Times New Roman" w:cs="Times New Roman"/>
          <w:color w:val="000000"/>
          <w:kern w:val="0"/>
          <w:sz w:val="24"/>
          <w:szCs w:val="24"/>
        </w:rPr>
        <w:t xml:space="preserve"> O, Berlin JA. Healing diabetic neuropathic foot ulcers: are we getting better? </w:t>
      </w:r>
      <w:proofErr w:type="spellStart"/>
      <w:r w:rsidRPr="00B05A92">
        <w:rPr>
          <w:rFonts w:ascii="Times New Roman" w:eastAsia="SimSun" w:hAnsi="Times New Roman" w:cs="Times New Roman"/>
          <w:color w:val="000000"/>
          <w:kern w:val="0"/>
          <w:sz w:val="24"/>
          <w:szCs w:val="24"/>
        </w:rPr>
        <w:t>Diabet</w:t>
      </w:r>
      <w:proofErr w:type="spellEnd"/>
      <w:r w:rsidRPr="00B05A92">
        <w:rPr>
          <w:rFonts w:ascii="Times New Roman" w:eastAsia="SimSun" w:hAnsi="Times New Roman" w:cs="Times New Roman"/>
          <w:color w:val="000000"/>
          <w:kern w:val="0"/>
          <w:sz w:val="24"/>
          <w:szCs w:val="24"/>
        </w:rPr>
        <w:t xml:space="preserve"> Med </w:t>
      </w:r>
      <w:proofErr w:type="gramStart"/>
      <w:r w:rsidRPr="00B05A92">
        <w:rPr>
          <w:rFonts w:ascii="Times New Roman" w:eastAsia="SimSun" w:hAnsi="Times New Roman" w:cs="Times New Roman"/>
          <w:color w:val="000000"/>
          <w:kern w:val="0"/>
          <w:sz w:val="24"/>
          <w:szCs w:val="24"/>
        </w:rPr>
        <w:t>2005;22:172</w:t>
      </w:r>
      <w:proofErr w:type="gramEnd"/>
      <w:r w:rsidRPr="00B05A92">
        <w:rPr>
          <w:rFonts w:ascii="Times New Roman" w:eastAsia="SimSun" w:hAnsi="Times New Roman" w:cs="Times New Roman"/>
          <w:color w:val="000000"/>
          <w:kern w:val="0"/>
          <w:sz w:val="24"/>
          <w:szCs w:val="24"/>
        </w:rPr>
        <w:t>–176 [</w:t>
      </w:r>
      <w:hyperlink r:id="rId90"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17. Angrist JD, </w:t>
      </w:r>
      <w:proofErr w:type="spellStart"/>
      <w:r w:rsidRPr="00B05A92">
        <w:rPr>
          <w:rFonts w:ascii="Times New Roman" w:eastAsia="SimSun" w:hAnsi="Times New Roman" w:cs="Times New Roman"/>
          <w:color w:val="000000"/>
          <w:kern w:val="0"/>
          <w:sz w:val="24"/>
          <w:szCs w:val="24"/>
        </w:rPr>
        <w:t>Imbens</w:t>
      </w:r>
      <w:proofErr w:type="spellEnd"/>
      <w:r w:rsidRPr="00B05A92">
        <w:rPr>
          <w:rFonts w:ascii="Times New Roman" w:eastAsia="SimSun" w:hAnsi="Times New Roman" w:cs="Times New Roman"/>
          <w:color w:val="000000"/>
          <w:kern w:val="0"/>
          <w:sz w:val="24"/>
          <w:szCs w:val="24"/>
        </w:rPr>
        <w:t xml:space="preserve"> G, </w:t>
      </w:r>
      <w:proofErr w:type="spellStart"/>
      <w:r w:rsidRPr="00B05A92">
        <w:rPr>
          <w:rFonts w:ascii="Times New Roman" w:eastAsia="SimSun" w:hAnsi="Times New Roman" w:cs="Times New Roman"/>
          <w:color w:val="000000"/>
          <w:kern w:val="0"/>
          <w:sz w:val="24"/>
          <w:szCs w:val="24"/>
        </w:rPr>
        <w:t>Rubins</w:t>
      </w:r>
      <w:proofErr w:type="spellEnd"/>
      <w:r w:rsidRPr="00B05A92">
        <w:rPr>
          <w:rFonts w:ascii="Times New Roman" w:eastAsia="SimSun" w:hAnsi="Times New Roman" w:cs="Times New Roman"/>
          <w:color w:val="000000"/>
          <w:kern w:val="0"/>
          <w:sz w:val="24"/>
          <w:szCs w:val="24"/>
        </w:rPr>
        <w:t xml:space="preserve"> DB. Identification of causal effects using instrumental variables. JASA</w:t>
      </w:r>
      <w:proofErr w:type="gramStart"/>
      <w:r w:rsidRPr="00B05A92">
        <w:rPr>
          <w:rFonts w:ascii="Times New Roman" w:eastAsia="SimSun" w:hAnsi="Times New Roman" w:cs="Times New Roman"/>
          <w:color w:val="000000"/>
          <w:kern w:val="0"/>
          <w:sz w:val="24"/>
          <w:szCs w:val="24"/>
        </w:rPr>
        <w:t>1996;91:444</w:t>
      </w:r>
      <w:proofErr w:type="gramEnd"/>
      <w:r w:rsidRPr="00B05A92">
        <w:rPr>
          <w:rFonts w:ascii="Times New Roman" w:eastAsia="SimSun" w:hAnsi="Times New Roman" w:cs="Times New Roman"/>
          <w:color w:val="000000"/>
          <w:kern w:val="0"/>
          <w:sz w:val="24"/>
          <w:szCs w:val="24"/>
        </w:rPr>
        <w:t>–455</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18. Rosenbaum PR. Discussing hidden bias in observational studies. Ann Intern Med </w:t>
      </w:r>
      <w:proofErr w:type="gramStart"/>
      <w:r w:rsidRPr="00B05A92">
        <w:rPr>
          <w:rFonts w:ascii="Times New Roman" w:eastAsia="SimSun" w:hAnsi="Times New Roman" w:cs="Times New Roman"/>
          <w:color w:val="000000"/>
          <w:kern w:val="0"/>
          <w:sz w:val="24"/>
          <w:szCs w:val="24"/>
        </w:rPr>
        <w:t>1991;115:901</w:t>
      </w:r>
      <w:proofErr w:type="gramEnd"/>
      <w:r w:rsidRPr="00B05A92">
        <w:rPr>
          <w:rFonts w:ascii="Times New Roman" w:eastAsia="SimSun" w:hAnsi="Times New Roman" w:cs="Times New Roman"/>
          <w:color w:val="000000"/>
          <w:kern w:val="0"/>
          <w:sz w:val="24"/>
          <w:szCs w:val="24"/>
        </w:rPr>
        <w:t>–905[</w:t>
      </w:r>
      <w:hyperlink r:id="rId91"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19. Rosenbaum PR. Sensitivity analysis for matched case-control studies. Biometrics </w:t>
      </w:r>
      <w:proofErr w:type="gramStart"/>
      <w:r w:rsidRPr="00B05A92">
        <w:rPr>
          <w:rFonts w:ascii="Times New Roman" w:eastAsia="SimSun" w:hAnsi="Times New Roman" w:cs="Times New Roman"/>
          <w:color w:val="000000"/>
          <w:kern w:val="0"/>
          <w:sz w:val="24"/>
          <w:szCs w:val="24"/>
        </w:rPr>
        <w:t>1991;47:87</w:t>
      </w:r>
      <w:proofErr w:type="gramEnd"/>
      <w:r w:rsidRPr="00B05A92">
        <w:rPr>
          <w:rFonts w:ascii="Times New Roman" w:eastAsia="SimSun" w:hAnsi="Times New Roman" w:cs="Times New Roman"/>
          <w:color w:val="000000"/>
          <w:kern w:val="0"/>
          <w:sz w:val="24"/>
          <w:szCs w:val="24"/>
        </w:rPr>
        <w:t>–100[</w:t>
      </w:r>
      <w:hyperlink r:id="rId92"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20. Armstrong DG, </w:t>
      </w:r>
      <w:proofErr w:type="spellStart"/>
      <w:r w:rsidRPr="00B05A92">
        <w:rPr>
          <w:rFonts w:ascii="Times New Roman" w:eastAsia="SimSun" w:hAnsi="Times New Roman" w:cs="Times New Roman"/>
          <w:color w:val="000000"/>
          <w:kern w:val="0"/>
          <w:sz w:val="24"/>
          <w:szCs w:val="24"/>
        </w:rPr>
        <w:t>Lavery</w:t>
      </w:r>
      <w:proofErr w:type="spellEnd"/>
      <w:r w:rsidRPr="00B05A92">
        <w:rPr>
          <w:rFonts w:ascii="Times New Roman" w:eastAsia="SimSun" w:hAnsi="Times New Roman" w:cs="Times New Roman"/>
          <w:color w:val="000000"/>
          <w:kern w:val="0"/>
          <w:sz w:val="24"/>
          <w:szCs w:val="24"/>
        </w:rPr>
        <w:t xml:space="preserve"> LA, Wu S, Boulton AJ. Evaluation of removable and irremovable cast walkers in the healing of diabetic foot wounds: a randomized controlled trial. Diabetes Care </w:t>
      </w:r>
      <w:proofErr w:type="gramStart"/>
      <w:r w:rsidRPr="00B05A92">
        <w:rPr>
          <w:rFonts w:ascii="Times New Roman" w:eastAsia="SimSun" w:hAnsi="Times New Roman" w:cs="Times New Roman"/>
          <w:color w:val="000000"/>
          <w:kern w:val="0"/>
          <w:sz w:val="24"/>
          <w:szCs w:val="24"/>
        </w:rPr>
        <w:t>2005;28:551</w:t>
      </w:r>
      <w:proofErr w:type="gramEnd"/>
      <w:r w:rsidRPr="00B05A92">
        <w:rPr>
          <w:rFonts w:ascii="Times New Roman" w:eastAsia="SimSun" w:hAnsi="Times New Roman" w:cs="Times New Roman"/>
          <w:color w:val="000000"/>
          <w:kern w:val="0"/>
          <w:sz w:val="24"/>
          <w:szCs w:val="24"/>
        </w:rPr>
        <w:t>–554[</w:t>
      </w:r>
      <w:hyperlink r:id="rId93"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21. Steed DL, Diabetic Ulcer Study Group Clinical evaluation of recombinant human platelet-derived growth factor for the treatment of lower extremity diabetic ulcers. J </w:t>
      </w:r>
      <w:proofErr w:type="spellStart"/>
      <w:r w:rsidRPr="00B05A92">
        <w:rPr>
          <w:rFonts w:ascii="Times New Roman" w:eastAsia="SimSun" w:hAnsi="Times New Roman" w:cs="Times New Roman"/>
          <w:color w:val="000000"/>
          <w:kern w:val="0"/>
          <w:sz w:val="24"/>
          <w:szCs w:val="24"/>
        </w:rPr>
        <w:t>Vasc</w:t>
      </w:r>
      <w:proofErr w:type="spellEnd"/>
      <w:r w:rsidRPr="00B05A92">
        <w:rPr>
          <w:rFonts w:ascii="Times New Roman" w:eastAsia="SimSun" w:hAnsi="Times New Roman" w:cs="Times New Roman"/>
          <w:color w:val="000000"/>
          <w:kern w:val="0"/>
          <w:sz w:val="24"/>
          <w:szCs w:val="24"/>
        </w:rPr>
        <w:t xml:space="preserve"> </w:t>
      </w:r>
      <w:proofErr w:type="spellStart"/>
      <w:r w:rsidRPr="00B05A92">
        <w:rPr>
          <w:rFonts w:ascii="Times New Roman" w:eastAsia="SimSun" w:hAnsi="Times New Roman" w:cs="Times New Roman"/>
          <w:color w:val="000000"/>
          <w:kern w:val="0"/>
          <w:sz w:val="24"/>
          <w:szCs w:val="24"/>
        </w:rPr>
        <w:t>Surg</w:t>
      </w:r>
      <w:proofErr w:type="spellEnd"/>
      <w:r w:rsidRPr="00B05A92">
        <w:rPr>
          <w:rFonts w:ascii="Times New Roman" w:eastAsia="SimSun" w:hAnsi="Times New Roman" w:cs="Times New Roman"/>
          <w:color w:val="000000"/>
          <w:kern w:val="0"/>
          <w:sz w:val="24"/>
          <w:szCs w:val="24"/>
        </w:rPr>
        <w:t> </w:t>
      </w:r>
      <w:proofErr w:type="gramStart"/>
      <w:r w:rsidRPr="00B05A92">
        <w:rPr>
          <w:rFonts w:ascii="Times New Roman" w:eastAsia="SimSun" w:hAnsi="Times New Roman" w:cs="Times New Roman"/>
          <w:color w:val="000000"/>
          <w:kern w:val="0"/>
          <w:sz w:val="24"/>
          <w:szCs w:val="24"/>
        </w:rPr>
        <w:t>1995;21:71</w:t>
      </w:r>
      <w:proofErr w:type="gramEnd"/>
      <w:r w:rsidRPr="00B05A92">
        <w:rPr>
          <w:rFonts w:ascii="Times New Roman" w:eastAsia="SimSun" w:hAnsi="Times New Roman" w:cs="Times New Roman"/>
          <w:color w:val="000000"/>
          <w:kern w:val="0"/>
          <w:sz w:val="24"/>
          <w:szCs w:val="24"/>
        </w:rPr>
        <w:t>–78; discussion 79–81 [</w:t>
      </w:r>
      <w:hyperlink r:id="rId94"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22. </w:t>
      </w:r>
      <w:proofErr w:type="spellStart"/>
      <w:r w:rsidRPr="00B05A92">
        <w:rPr>
          <w:rFonts w:ascii="Times New Roman" w:eastAsia="SimSun" w:hAnsi="Times New Roman" w:cs="Times New Roman"/>
          <w:color w:val="000000"/>
          <w:kern w:val="0"/>
          <w:sz w:val="24"/>
          <w:szCs w:val="24"/>
        </w:rPr>
        <w:t>Veves</w:t>
      </w:r>
      <w:proofErr w:type="spellEnd"/>
      <w:r w:rsidRPr="00B05A92">
        <w:rPr>
          <w:rFonts w:ascii="Times New Roman" w:eastAsia="SimSun" w:hAnsi="Times New Roman" w:cs="Times New Roman"/>
          <w:color w:val="000000"/>
          <w:kern w:val="0"/>
          <w:sz w:val="24"/>
          <w:szCs w:val="24"/>
        </w:rPr>
        <w:t xml:space="preserve"> A, </w:t>
      </w:r>
      <w:proofErr w:type="spellStart"/>
      <w:r w:rsidRPr="00B05A92">
        <w:rPr>
          <w:rFonts w:ascii="Times New Roman" w:eastAsia="SimSun" w:hAnsi="Times New Roman" w:cs="Times New Roman"/>
          <w:color w:val="000000"/>
          <w:kern w:val="0"/>
          <w:sz w:val="24"/>
          <w:szCs w:val="24"/>
        </w:rPr>
        <w:t>Falanga</w:t>
      </w:r>
      <w:proofErr w:type="spellEnd"/>
      <w:r w:rsidRPr="00B05A92">
        <w:rPr>
          <w:rFonts w:ascii="Times New Roman" w:eastAsia="SimSun" w:hAnsi="Times New Roman" w:cs="Times New Roman"/>
          <w:color w:val="000000"/>
          <w:kern w:val="0"/>
          <w:sz w:val="24"/>
          <w:szCs w:val="24"/>
        </w:rPr>
        <w:t xml:space="preserve"> V, Armstrong DG, </w:t>
      </w:r>
      <w:proofErr w:type="spellStart"/>
      <w:r w:rsidRPr="00B05A92">
        <w:rPr>
          <w:rFonts w:ascii="Times New Roman" w:eastAsia="SimSun" w:hAnsi="Times New Roman" w:cs="Times New Roman"/>
          <w:color w:val="000000"/>
          <w:kern w:val="0"/>
          <w:sz w:val="24"/>
          <w:szCs w:val="24"/>
        </w:rPr>
        <w:t>Sabolinski</w:t>
      </w:r>
      <w:proofErr w:type="spellEnd"/>
      <w:r w:rsidRPr="00B05A92">
        <w:rPr>
          <w:rFonts w:ascii="Times New Roman" w:eastAsia="SimSun" w:hAnsi="Times New Roman" w:cs="Times New Roman"/>
          <w:color w:val="000000"/>
          <w:kern w:val="0"/>
          <w:sz w:val="24"/>
          <w:szCs w:val="24"/>
        </w:rPr>
        <w:t xml:space="preserve"> ML, Apligraf Diabetic Foot Ulcer Study </w:t>
      </w:r>
      <w:proofErr w:type="spellStart"/>
      <w:r w:rsidRPr="00B05A92">
        <w:rPr>
          <w:rFonts w:ascii="Times New Roman" w:eastAsia="SimSun" w:hAnsi="Times New Roman" w:cs="Times New Roman"/>
          <w:color w:val="000000"/>
          <w:kern w:val="0"/>
          <w:sz w:val="24"/>
          <w:szCs w:val="24"/>
        </w:rPr>
        <w:t>Graftskin</w:t>
      </w:r>
      <w:proofErr w:type="spellEnd"/>
      <w:r w:rsidRPr="00B05A92">
        <w:rPr>
          <w:rFonts w:ascii="Times New Roman" w:eastAsia="SimSun" w:hAnsi="Times New Roman" w:cs="Times New Roman"/>
          <w:color w:val="000000"/>
          <w:kern w:val="0"/>
          <w:sz w:val="24"/>
          <w:szCs w:val="24"/>
        </w:rPr>
        <w:t>, a human skin equivalent, is effective in the management of noninfected neuropathic diabetic foot ulcers: a prospective randomized multicenter clinical trial. Diabetes Care </w:t>
      </w:r>
      <w:proofErr w:type="gramStart"/>
      <w:r w:rsidRPr="00B05A92">
        <w:rPr>
          <w:rFonts w:ascii="Times New Roman" w:eastAsia="SimSun" w:hAnsi="Times New Roman" w:cs="Times New Roman"/>
          <w:color w:val="000000"/>
          <w:kern w:val="0"/>
          <w:sz w:val="24"/>
          <w:szCs w:val="24"/>
        </w:rPr>
        <w:t>2001;24:290</w:t>
      </w:r>
      <w:proofErr w:type="gramEnd"/>
      <w:r w:rsidRPr="00B05A92">
        <w:rPr>
          <w:rFonts w:ascii="Times New Roman" w:eastAsia="SimSun" w:hAnsi="Times New Roman" w:cs="Times New Roman"/>
          <w:color w:val="000000"/>
          <w:kern w:val="0"/>
          <w:sz w:val="24"/>
          <w:szCs w:val="24"/>
        </w:rPr>
        <w:t>–295 [</w:t>
      </w:r>
      <w:hyperlink r:id="rId95"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23. Warriner RA, </w:t>
      </w:r>
      <w:proofErr w:type="spellStart"/>
      <w:r w:rsidRPr="00B05A92">
        <w:rPr>
          <w:rFonts w:ascii="Times New Roman" w:eastAsia="SimSun" w:hAnsi="Times New Roman" w:cs="Times New Roman"/>
          <w:color w:val="000000"/>
          <w:kern w:val="0"/>
          <w:sz w:val="24"/>
          <w:szCs w:val="24"/>
        </w:rPr>
        <w:t>Hopf</w:t>
      </w:r>
      <w:proofErr w:type="spellEnd"/>
      <w:r w:rsidRPr="00B05A92">
        <w:rPr>
          <w:rFonts w:ascii="Times New Roman" w:eastAsia="SimSun" w:hAnsi="Times New Roman" w:cs="Times New Roman"/>
          <w:color w:val="000000"/>
          <w:kern w:val="0"/>
          <w:sz w:val="24"/>
          <w:szCs w:val="24"/>
        </w:rPr>
        <w:t xml:space="preserve"> HW. Enhancement of healing in selected problem wounds. In Hyperbaric Oxygen Therapy Indications. </w:t>
      </w:r>
      <w:proofErr w:type="spellStart"/>
      <w:r w:rsidRPr="00B05A92">
        <w:rPr>
          <w:rFonts w:ascii="Times New Roman" w:eastAsia="SimSun" w:hAnsi="Times New Roman" w:cs="Times New Roman"/>
          <w:color w:val="000000"/>
          <w:kern w:val="0"/>
          <w:sz w:val="24"/>
          <w:szCs w:val="24"/>
        </w:rPr>
        <w:t>Gisell</w:t>
      </w:r>
      <w:proofErr w:type="spellEnd"/>
      <w:r w:rsidRPr="00B05A92">
        <w:rPr>
          <w:rFonts w:ascii="Times New Roman" w:eastAsia="SimSun" w:hAnsi="Times New Roman" w:cs="Times New Roman"/>
          <w:color w:val="000000"/>
          <w:kern w:val="0"/>
          <w:sz w:val="24"/>
          <w:szCs w:val="24"/>
        </w:rPr>
        <w:t xml:space="preserve"> LB, editor</w:t>
      </w:r>
      <w:proofErr w:type="gramStart"/>
      <w:r w:rsidRPr="00B05A92">
        <w:rPr>
          <w:rFonts w:ascii="Times New Roman" w:eastAsia="SimSun" w:hAnsi="Times New Roman" w:cs="Times New Roman"/>
          <w:color w:val="000000"/>
          <w:kern w:val="0"/>
          <w:sz w:val="24"/>
          <w:szCs w:val="24"/>
        </w:rPr>
        <w:t>. ,</w:t>
      </w:r>
      <w:proofErr w:type="gramEnd"/>
      <w:r w:rsidRPr="00B05A92">
        <w:rPr>
          <w:rFonts w:ascii="Times New Roman" w:eastAsia="SimSun" w:hAnsi="Times New Roman" w:cs="Times New Roman"/>
          <w:color w:val="000000"/>
          <w:kern w:val="0"/>
          <w:sz w:val="24"/>
          <w:szCs w:val="24"/>
        </w:rPr>
        <w:t xml:space="preserve"> Ed. Durham, Undersea and Hyperbaric Medical Society, 2008, p. 67–83 [</w:t>
      </w:r>
      <w:hyperlink r:id="rId96"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24. Steed DL, </w:t>
      </w:r>
      <w:proofErr w:type="spellStart"/>
      <w:r w:rsidRPr="00B05A92">
        <w:rPr>
          <w:rFonts w:ascii="Times New Roman" w:eastAsia="SimSun" w:hAnsi="Times New Roman" w:cs="Times New Roman"/>
          <w:color w:val="000000"/>
          <w:kern w:val="0"/>
          <w:sz w:val="24"/>
          <w:szCs w:val="24"/>
        </w:rPr>
        <w:t>Attinger</w:t>
      </w:r>
      <w:proofErr w:type="spellEnd"/>
      <w:r w:rsidRPr="00B05A92">
        <w:rPr>
          <w:rFonts w:ascii="Times New Roman" w:eastAsia="SimSun" w:hAnsi="Times New Roman" w:cs="Times New Roman"/>
          <w:color w:val="000000"/>
          <w:kern w:val="0"/>
          <w:sz w:val="24"/>
          <w:szCs w:val="24"/>
        </w:rPr>
        <w:t xml:space="preserve"> C, </w:t>
      </w:r>
      <w:proofErr w:type="spellStart"/>
      <w:r w:rsidRPr="00B05A92">
        <w:rPr>
          <w:rFonts w:ascii="Times New Roman" w:eastAsia="SimSun" w:hAnsi="Times New Roman" w:cs="Times New Roman"/>
          <w:color w:val="000000"/>
          <w:kern w:val="0"/>
          <w:sz w:val="24"/>
          <w:szCs w:val="24"/>
        </w:rPr>
        <w:t>Colaizzi</w:t>
      </w:r>
      <w:proofErr w:type="spellEnd"/>
      <w:r w:rsidRPr="00B05A92">
        <w:rPr>
          <w:rFonts w:ascii="Times New Roman" w:eastAsia="SimSun" w:hAnsi="Times New Roman" w:cs="Times New Roman"/>
          <w:color w:val="000000"/>
          <w:kern w:val="0"/>
          <w:sz w:val="24"/>
          <w:szCs w:val="24"/>
        </w:rPr>
        <w:t xml:space="preserve"> T, et al. Guidelines for the treatment of diabetic ulcers. Wound Repair Regen </w:t>
      </w:r>
      <w:proofErr w:type="gramStart"/>
      <w:r w:rsidRPr="00B05A92">
        <w:rPr>
          <w:rFonts w:ascii="Times New Roman" w:eastAsia="SimSun" w:hAnsi="Times New Roman" w:cs="Times New Roman"/>
          <w:color w:val="000000"/>
          <w:kern w:val="0"/>
          <w:sz w:val="24"/>
          <w:szCs w:val="24"/>
        </w:rPr>
        <w:t>2006;14:680</w:t>
      </w:r>
      <w:proofErr w:type="gramEnd"/>
      <w:r w:rsidRPr="00B05A92">
        <w:rPr>
          <w:rFonts w:ascii="Times New Roman" w:eastAsia="SimSun" w:hAnsi="Times New Roman" w:cs="Times New Roman"/>
          <w:color w:val="000000"/>
          <w:kern w:val="0"/>
          <w:sz w:val="24"/>
          <w:szCs w:val="24"/>
        </w:rPr>
        <w:t>–692 [</w:t>
      </w:r>
      <w:hyperlink r:id="rId97"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25. Marx RE, </w:t>
      </w:r>
      <w:proofErr w:type="spellStart"/>
      <w:r w:rsidRPr="00B05A92">
        <w:rPr>
          <w:rFonts w:ascii="Times New Roman" w:eastAsia="SimSun" w:hAnsi="Times New Roman" w:cs="Times New Roman"/>
          <w:color w:val="000000"/>
          <w:kern w:val="0"/>
          <w:sz w:val="24"/>
          <w:szCs w:val="24"/>
        </w:rPr>
        <w:t>Ehler</w:t>
      </w:r>
      <w:proofErr w:type="spellEnd"/>
      <w:r w:rsidRPr="00B05A92">
        <w:rPr>
          <w:rFonts w:ascii="Times New Roman" w:eastAsia="SimSun" w:hAnsi="Times New Roman" w:cs="Times New Roman"/>
          <w:color w:val="000000"/>
          <w:kern w:val="0"/>
          <w:sz w:val="24"/>
          <w:szCs w:val="24"/>
        </w:rPr>
        <w:t xml:space="preserve"> WJ, </w:t>
      </w:r>
      <w:proofErr w:type="spellStart"/>
      <w:r w:rsidRPr="00B05A92">
        <w:rPr>
          <w:rFonts w:ascii="Times New Roman" w:eastAsia="SimSun" w:hAnsi="Times New Roman" w:cs="Times New Roman"/>
          <w:color w:val="000000"/>
          <w:kern w:val="0"/>
          <w:sz w:val="24"/>
          <w:szCs w:val="24"/>
        </w:rPr>
        <w:t>Tayapongsak</w:t>
      </w:r>
      <w:proofErr w:type="spellEnd"/>
      <w:r w:rsidRPr="00B05A92">
        <w:rPr>
          <w:rFonts w:ascii="Times New Roman" w:eastAsia="SimSun" w:hAnsi="Times New Roman" w:cs="Times New Roman"/>
          <w:color w:val="000000"/>
          <w:kern w:val="0"/>
          <w:sz w:val="24"/>
          <w:szCs w:val="24"/>
        </w:rPr>
        <w:t xml:space="preserve"> P, Pierce LW. Relationship of oxygen dose to angiogenesis induction in irradiated tissue. Am J </w:t>
      </w:r>
      <w:proofErr w:type="spellStart"/>
      <w:r w:rsidRPr="00B05A92">
        <w:rPr>
          <w:rFonts w:ascii="Times New Roman" w:eastAsia="SimSun" w:hAnsi="Times New Roman" w:cs="Times New Roman"/>
          <w:color w:val="000000"/>
          <w:kern w:val="0"/>
          <w:sz w:val="24"/>
          <w:szCs w:val="24"/>
        </w:rPr>
        <w:t>Surg</w:t>
      </w:r>
      <w:proofErr w:type="spellEnd"/>
      <w:r w:rsidRPr="00B05A92">
        <w:rPr>
          <w:rFonts w:ascii="Times New Roman" w:eastAsia="SimSun" w:hAnsi="Times New Roman" w:cs="Times New Roman"/>
          <w:color w:val="000000"/>
          <w:kern w:val="0"/>
          <w:sz w:val="24"/>
          <w:szCs w:val="24"/>
        </w:rPr>
        <w:t> </w:t>
      </w:r>
      <w:proofErr w:type="gramStart"/>
      <w:r w:rsidRPr="00B05A92">
        <w:rPr>
          <w:rFonts w:ascii="Times New Roman" w:eastAsia="SimSun" w:hAnsi="Times New Roman" w:cs="Times New Roman"/>
          <w:color w:val="000000"/>
          <w:kern w:val="0"/>
          <w:sz w:val="24"/>
          <w:szCs w:val="24"/>
        </w:rPr>
        <w:t>1990;160:519</w:t>
      </w:r>
      <w:proofErr w:type="gramEnd"/>
      <w:r w:rsidRPr="00B05A92">
        <w:rPr>
          <w:rFonts w:ascii="Times New Roman" w:eastAsia="SimSun" w:hAnsi="Times New Roman" w:cs="Times New Roman"/>
          <w:color w:val="000000"/>
          <w:kern w:val="0"/>
          <w:sz w:val="24"/>
          <w:szCs w:val="24"/>
        </w:rPr>
        <w:t>–524 [</w:t>
      </w:r>
      <w:hyperlink r:id="rId98"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lastRenderedPageBreak/>
        <w:t>26. </w:t>
      </w:r>
      <w:proofErr w:type="spellStart"/>
      <w:r w:rsidRPr="00B05A92">
        <w:rPr>
          <w:rFonts w:ascii="Times New Roman" w:eastAsia="SimSun" w:hAnsi="Times New Roman" w:cs="Times New Roman"/>
          <w:color w:val="000000"/>
          <w:kern w:val="0"/>
          <w:sz w:val="24"/>
          <w:szCs w:val="24"/>
        </w:rPr>
        <w:t>Annane</w:t>
      </w:r>
      <w:proofErr w:type="spellEnd"/>
      <w:r w:rsidRPr="00B05A92">
        <w:rPr>
          <w:rFonts w:ascii="Times New Roman" w:eastAsia="SimSun" w:hAnsi="Times New Roman" w:cs="Times New Roman"/>
          <w:color w:val="000000"/>
          <w:kern w:val="0"/>
          <w:sz w:val="24"/>
          <w:szCs w:val="24"/>
        </w:rPr>
        <w:t xml:space="preserve"> D, </w:t>
      </w:r>
      <w:proofErr w:type="spellStart"/>
      <w:r w:rsidRPr="00B05A92">
        <w:rPr>
          <w:rFonts w:ascii="Times New Roman" w:eastAsia="SimSun" w:hAnsi="Times New Roman" w:cs="Times New Roman"/>
          <w:color w:val="000000"/>
          <w:kern w:val="0"/>
          <w:sz w:val="24"/>
          <w:szCs w:val="24"/>
        </w:rPr>
        <w:t>Depondt</w:t>
      </w:r>
      <w:proofErr w:type="spellEnd"/>
      <w:r w:rsidRPr="00B05A92">
        <w:rPr>
          <w:rFonts w:ascii="Times New Roman" w:eastAsia="SimSun" w:hAnsi="Times New Roman" w:cs="Times New Roman"/>
          <w:color w:val="000000"/>
          <w:kern w:val="0"/>
          <w:sz w:val="24"/>
          <w:szCs w:val="24"/>
        </w:rPr>
        <w:t xml:space="preserve"> J, Aubert P, et al. Hyperbaric oxygen therapy for </w:t>
      </w:r>
      <w:proofErr w:type="spellStart"/>
      <w:r w:rsidRPr="00B05A92">
        <w:rPr>
          <w:rFonts w:ascii="Times New Roman" w:eastAsia="SimSun" w:hAnsi="Times New Roman" w:cs="Times New Roman"/>
          <w:color w:val="000000"/>
          <w:kern w:val="0"/>
          <w:sz w:val="24"/>
          <w:szCs w:val="24"/>
        </w:rPr>
        <w:t>radionecrosis</w:t>
      </w:r>
      <w:proofErr w:type="spellEnd"/>
      <w:r w:rsidRPr="00B05A92">
        <w:rPr>
          <w:rFonts w:ascii="Times New Roman" w:eastAsia="SimSun" w:hAnsi="Times New Roman" w:cs="Times New Roman"/>
          <w:color w:val="000000"/>
          <w:kern w:val="0"/>
          <w:sz w:val="24"/>
          <w:szCs w:val="24"/>
        </w:rPr>
        <w:t xml:space="preserve"> of the jaw: a randomized, placebo-controlled, double-blind trial from the ORN96 study group. J </w:t>
      </w:r>
      <w:proofErr w:type="spellStart"/>
      <w:r w:rsidRPr="00B05A92">
        <w:rPr>
          <w:rFonts w:ascii="Times New Roman" w:eastAsia="SimSun" w:hAnsi="Times New Roman" w:cs="Times New Roman"/>
          <w:color w:val="000000"/>
          <w:kern w:val="0"/>
          <w:sz w:val="24"/>
          <w:szCs w:val="24"/>
        </w:rPr>
        <w:t>Clin</w:t>
      </w:r>
      <w:proofErr w:type="spellEnd"/>
      <w:r w:rsidRPr="00B05A92">
        <w:rPr>
          <w:rFonts w:ascii="Times New Roman" w:eastAsia="SimSun" w:hAnsi="Times New Roman" w:cs="Times New Roman"/>
          <w:color w:val="000000"/>
          <w:kern w:val="0"/>
          <w:sz w:val="24"/>
          <w:szCs w:val="24"/>
        </w:rPr>
        <w:t xml:space="preserve"> Oncol</w:t>
      </w:r>
      <w:proofErr w:type="gramStart"/>
      <w:r w:rsidRPr="00B05A92">
        <w:rPr>
          <w:rFonts w:ascii="Times New Roman" w:eastAsia="SimSun" w:hAnsi="Times New Roman" w:cs="Times New Roman"/>
          <w:color w:val="000000"/>
          <w:kern w:val="0"/>
          <w:sz w:val="24"/>
          <w:szCs w:val="24"/>
        </w:rPr>
        <w:t>2004;22:4893</w:t>
      </w:r>
      <w:proofErr w:type="gramEnd"/>
      <w:r w:rsidRPr="00B05A92">
        <w:rPr>
          <w:rFonts w:ascii="Times New Roman" w:eastAsia="SimSun" w:hAnsi="Times New Roman" w:cs="Times New Roman"/>
          <w:color w:val="000000"/>
          <w:kern w:val="0"/>
          <w:sz w:val="24"/>
          <w:szCs w:val="24"/>
        </w:rPr>
        <w:t>–4900 [</w:t>
      </w:r>
      <w:hyperlink r:id="rId99"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27. Wang CJ, Wu RW, Yang YJ. Treatment of diabetic foot ulcers: a comparative study of extracorporeal shockwave therapy and hyperbaric oxygen therapy. Diabetes Res </w:t>
      </w:r>
      <w:proofErr w:type="spellStart"/>
      <w:r w:rsidRPr="00B05A92">
        <w:rPr>
          <w:rFonts w:ascii="Times New Roman" w:eastAsia="SimSun" w:hAnsi="Times New Roman" w:cs="Times New Roman"/>
          <w:color w:val="000000"/>
          <w:kern w:val="0"/>
          <w:sz w:val="24"/>
          <w:szCs w:val="24"/>
        </w:rPr>
        <w:t>Clin</w:t>
      </w:r>
      <w:proofErr w:type="spellEnd"/>
      <w:r w:rsidRPr="00B05A92">
        <w:rPr>
          <w:rFonts w:ascii="Times New Roman" w:eastAsia="SimSun" w:hAnsi="Times New Roman" w:cs="Times New Roman"/>
          <w:color w:val="000000"/>
          <w:kern w:val="0"/>
          <w:sz w:val="24"/>
          <w:szCs w:val="24"/>
        </w:rPr>
        <w:t xml:space="preserve"> </w:t>
      </w:r>
      <w:proofErr w:type="spellStart"/>
      <w:r w:rsidRPr="00B05A92">
        <w:rPr>
          <w:rFonts w:ascii="Times New Roman" w:eastAsia="SimSun" w:hAnsi="Times New Roman" w:cs="Times New Roman"/>
          <w:color w:val="000000"/>
          <w:kern w:val="0"/>
          <w:sz w:val="24"/>
          <w:szCs w:val="24"/>
        </w:rPr>
        <w:t>Pract</w:t>
      </w:r>
      <w:proofErr w:type="spellEnd"/>
      <w:r w:rsidRPr="00B05A92">
        <w:rPr>
          <w:rFonts w:ascii="Times New Roman" w:eastAsia="SimSun" w:hAnsi="Times New Roman" w:cs="Times New Roman"/>
          <w:color w:val="000000"/>
          <w:kern w:val="0"/>
          <w:sz w:val="24"/>
          <w:szCs w:val="24"/>
        </w:rPr>
        <w:t> </w:t>
      </w:r>
      <w:proofErr w:type="gramStart"/>
      <w:r w:rsidRPr="00B05A92">
        <w:rPr>
          <w:rFonts w:ascii="Times New Roman" w:eastAsia="SimSun" w:hAnsi="Times New Roman" w:cs="Times New Roman"/>
          <w:color w:val="000000"/>
          <w:kern w:val="0"/>
          <w:sz w:val="24"/>
          <w:szCs w:val="24"/>
        </w:rPr>
        <w:t>2011;92:187</w:t>
      </w:r>
      <w:proofErr w:type="gramEnd"/>
      <w:r w:rsidRPr="00B05A92">
        <w:rPr>
          <w:rFonts w:ascii="Times New Roman" w:eastAsia="SimSun" w:hAnsi="Times New Roman" w:cs="Times New Roman"/>
          <w:color w:val="000000"/>
          <w:kern w:val="0"/>
          <w:sz w:val="24"/>
          <w:szCs w:val="24"/>
        </w:rPr>
        <w:t>–193 [</w:t>
      </w:r>
      <w:hyperlink r:id="rId100"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28. Margolis DJ, Kantor J, </w:t>
      </w:r>
      <w:proofErr w:type="spellStart"/>
      <w:r w:rsidRPr="00B05A92">
        <w:rPr>
          <w:rFonts w:ascii="Times New Roman" w:eastAsia="SimSun" w:hAnsi="Times New Roman" w:cs="Times New Roman"/>
          <w:color w:val="000000"/>
          <w:kern w:val="0"/>
          <w:sz w:val="24"/>
          <w:szCs w:val="24"/>
        </w:rPr>
        <w:t>Santanna</w:t>
      </w:r>
      <w:proofErr w:type="spellEnd"/>
      <w:r w:rsidRPr="00B05A92">
        <w:rPr>
          <w:rFonts w:ascii="Times New Roman" w:eastAsia="SimSun" w:hAnsi="Times New Roman" w:cs="Times New Roman"/>
          <w:color w:val="000000"/>
          <w:kern w:val="0"/>
          <w:sz w:val="24"/>
          <w:szCs w:val="24"/>
        </w:rPr>
        <w:t xml:space="preserve"> J, Strom BL, Berlin JA. Effectiveness of platelet </w:t>
      </w:r>
      <w:proofErr w:type="spellStart"/>
      <w:r w:rsidRPr="00B05A92">
        <w:rPr>
          <w:rFonts w:ascii="Times New Roman" w:eastAsia="SimSun" w:hAnsi="Times New Roman" w:cs="Times New Roman"/>
          <w:color w:val="000000"/>
          <w:kern w:val="0"/>
          <w:sz w:val="24"/>
          <w:szCs w:val="24"/>
        </w:rPr>
        <w:t>releasate</w:t>
      </w:r>
      <w:proofErr w:type="spellEnd"/>
      <w:r w:rsidRPr="00B05A92">
        <w:rPr>
          <w:rFonts w:ascii="Times New Roman" w:eastAsia="SimSun" w:hAnsi="Times New Roman" w:cs="Times New Roman"/>
          <w:color w:val="000000"/>
          <w:kern w:val="0"/>
          <w:sz w:val="24"/>
          <w:szCs w:val="24"/>
        </w:rPr>
        <w:t xml:space="preserve"> for the treatment of diabetic neuropathic foot ulcers. Diabetes Care </w:t>
      </w:r>
      <w:proofErr w:type="gramStart"/>
      <w:r w:rsidRPr="00B05A92">
        <w:rPr>
          <w:rFonts w:ascii="Times New Roman" w:eastAsia="SimSun" w:hAnsi="Times New Roman" w:cs="Times New Roman"/>
          <w:color w:val="000000"/>
          <w:kern w:val="0"/>
          <w:sz w:val="24"/>
          <w:szCs w:val="24"/>
        </w:rPr>
        <w:t>2001;24:483</w:t>
      </w:r>
      <w:proofErr w:type="gramEnd"/>
      <w:r w:rsidRPr="00B05A92">
        <w:rPr>
          <w:rFonts w:ascii="Times New Roman" w:eastAsia="SimSun" w:hAnsi="Times New Roman" w:cs="Times New Roman"/>
          <w:color w:val="000000"/>
          <w:kern w:val="0"/>
          <w:sz w:val="24"/>
          <w:szCs w:val="24"/>
        </w:rPr>
        <w:t>–488 [</w:t>
      </w:r>
      <w:hyperlink r:id="rId101"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29. Margolis DJ, Allen-Taylor L, </w:t>
      </w:r>
      <w:proofErr w:type="spellStart"/>
      <w:r w:rsidRPr="00B05A92">
        <w:rPr>
          <w:rFonts w:ascii="Times New Roman" w:eastAsia="SimSun" w:hAnsi="Times New Roman" w:cs="Times New Roman"/>
          <w:color w:val="000000"/>
          <w:kern w:val="0"/>
          <w:sz w:val="24"/>
          <w:szCs w:val="24"/>
        </w:rPr>
        <w:t>Hoffstad</w:t>
      </w:r>
      <w:proofErr w:type="spellEnd"/>
      <w:r w:rsidRPr="00B05A92">
        <w:rPr>
          <w:rFonts w:ascii="Times New Roman" w:eastAsia="SimSun" w:hAnsi="Times New Roman" w:cs="Times New Roman"/>
          <w:color w:val="000000"/>
          <w:kern w:val="0"/>
          <w:sz w:val="24"/>
          <w:szCs w:val="24"/>
        </w:rPr>
        <w:t xml:space="preserve"> O, Berlin JA. Diabetic neuropathic foot ulcers: the association of wound size, wound duration, and wound grade on healing. Diabetes Care </w:t>
      </w:r>
      <w:proofErr w:type="gramStart"/>
      <w:r w:rsidRPr="00B05A92">
        <w:rPr>
          <w:rFonts w:ascii="Times New Roman" w:eastAsia="SimSun" w:hAnsi="Times New Roman" w:cs="Times New Roman"/>
          <w:color w:val="000000"/>
          <w:kern w:val="0"/>
          <w:sz w:val="24"/>
          <w:szCs w:val="24"/>
        </w:rPr>
        <w:t>2002;25:1835</w:t>
      </w:r>
      <w:proofErr w:type="gramEnd"/>
      <w:r w:rsidRPr="00B05A92">
        <w:rPr>
          <w:rFonts w:ascii="Times New Roman" w:eastAsia="SimSun" w:hAnsi="Times New Roman" w:cs="Times New Roman"/>
          <w:color w:val="000000"/>
          <w:kern w:val="0"/>
          <w:sz w:val="24"/>
          <w:szCs w:val="24"/>
        </w:rPr>
        <w:t>–1839 [</w:t>
      </w:r>
      <w:hyperlink r:id="rId102"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jc w:val="left"/>
        <w:rPr>
          <w:rFonts w:ascii="Times New Roman" w:eastAsia="SimSun" w:hAnsi="Times New Roman" w:cs="Times New Roman"/>
          <w:color w:val="000000"/>
          <w:kern w:val="0"/>
          <w:sz w:val="24"/>
          <w:szCs w:val="24"/>
        </w:rPr>
      </w:pPr>
      <w:r w:rsidRPr="00B05A92">
        <w:rPr>
          <w:rFonts w:ascii="Times New Roman" w:eastAsia="SimSun" w:hAnsi="Times New Roman" w:cs="Times New Roman"/>
          <w:color w:val="000000"/>
          <w:kern w:val="0"/>
          <w:sz w:val="24"/>
          <w:szCs w:val="24"/>
        </w:rPr>
        <w:t xml:space="preserve">30. Bennett SP, Griffiths GD, Schor AM, Leese GP, Schor SL. Growth factors in the treatment of diabetic foot ulcers. Br J </w:t>
      </w:r>
      <w:proofErr w:type="spellStart"/>
      <w:r w:rsidRPr="00B05A92">
        <w:rPr>
          <w:rFonts w:ascii="Times New Roman" w:eastAsia="SimSun" w:hAnsi="Times New Roman" w:cs="Times New Roman"/>
          <w:color w:val="000000"/>
          <w:kern w:val="0"/>
          <w:sz w:val="24"/>
          <w:szCs w:val="24"/>
        </w:rPr>
        <w:t>Surg</w:t>
      </w:r>
      <w:proofErr w:type="spellEnd"/>
      <w:r w:rsidRPr="00B05A92">
        <w:rPr>
          <w:rFonts w:ascii="Times New Roman" w:eastAsia="SimSun" w:hAnsi="Times New Roman" w:cs="Times New Roman"/>
          <w:color w:val="000000"/>
          <w:kern w:val="0"/>
          <w:sz w:val="24"/>
          <w:szCs w:val="24"/>
        </w:rPr>
        <w:t> </w:t>
      </w:r>
      <w:proofErr w:type="gramStart"/>
      <w:r w:rsidRPr="00B05A92">
        <w:rPr>
          <w:rFonts w:ascii="Times New Roman" w:eastAsia="SimSun" w:hAnsi="Times New Roman" w:cs="Times New Roman"/>
          <w:color w:val="000000"/>
          <w:kern w:val="0"/>
          <w:sz w:val="24"/>
          <w:szCs w:val="24"/>
        </w:rPr>
        <w:t>2003;90:133</w:t>
      </w:r>
      <w:proofErr w:type="gramEnd"/>
      <w:r w:rsidRPr="00B05A92">
        <w:rPr>
          <w:rFonts w:ascii="Times New Roman" w:eastAsia="SimSun" w:hAnsi="Times New Roman" w:cs="Times New Roman"/>
          <w:color w:val="000000"/>
          <w:kern w:val="0"/>
          <w:sz w:val="24"/>
          <w:szCs w:val="24"/>
        </w:rPr>
        <w:t>–146 [</w:t>
      </w:r>
      <w:hyperlink r:id="rId103" w:tgtFrame="pmc_ext" w:history="1">
        <w:r w:rsidRPr="00B05A92">
          <w:rPr>
            <w:rFonts w:ascii="Times New Roman" w:eastAsia="SimSun" w:hAnsi="Times New Roman" w:cs="Times New Roman"/>
            <w:color w:val="642A8F"/>
            <w:kern w:val="0"/>
            <w:sz w:val="24"/>
            <w:szCs w:val="24"/>
            <w:u w:val="single"/>
          </w:rPr>
          <w:t>PubMed</w:t>
        </w:r>
      </w:hyperlink>
      <w:r w:rsidRPr="00B05A92">
        <w:rPr>
          <w:rFonts w:ascii="Times New Roman" w:eastAsia="SimSun" w:hAnsi="Times New Roman" w:cs="Times New Roman"/>
          <w:color w:val="000000"/>
          <w:kern w:val="0"/>
          <w:sz w:val="24"/>
          <w:szCs w:val="24"/>
        </w:rPr>
        <w:t>]</w:t>
      </w:r>
    </w:p>
    <w:p w:rsidR="00B05A92" w:rsidRPr="00B05A92" w:rsidRDefault="00B05A92" w:rsidP="00B05A92">
      <w:pPr>
        <w:widowControl/>
        <w:spacing w:before="332"/>
        <w:jc w:val="left"/>
        <w:rPr>
          <w:rFonts w:ascii="SimSun" w:eastAsia="SimSun" w:hAnsi="SimSun" w:cs="SimSun"/>
          <w:kern w:val="0"/>
          <w:sz w:val="24"/>
          <w:szCs w:val="24"/>
        </w:rPr>
      </w:pPr>
      <w:r w:rsidRPr="00B05A92">
        <w:rPr>
          <w:rFonts w:ascii="SimSun" w:eastAsia="SimSun" w:hAnsi="SimSun" w:cs="SimSun"/>
          <w:kern w:val="0"/>
          <w:sz w:val="24"/>
          <w:szCs w:val="24"/>
        </w:rPr>
        <w:pict>
          <v:rect id="_x0000_i1028" style="width:0;height:0" o:hrstd="t" o:hrnoshade="t" o:hr="t" fillcolor="black" stroked="f"/>
        </w:pict>
      </w:r>
    </w:p>
    <w:p w:rsidR="00B05A92" w:rsidRPr="00B05A92" w:rsidRDefault="00B05A92" w:rsidP="00B05A92">
      <w:pPr>
        <w:widowControl/>
        <w:spacing w:before="332" w:line="393" w:lineRule="atLeast"/>
        <w:jc w:val="center"/>
        <w:rPr>
          <w:rFonts w:ascii="Arial" w:eastAsia="SimSun" w:hAnsi="Arial" w:cs="Arial"/>
          <w:color w:val="000000"/>
          <w:kern w:val="0"/>
          <w:sz w:val="20"/>
          <w:szCs w:val="20"/>
        </w:rPr>
      </w:pPr>
      <w:r w:rsidRPr="00B05A92">
        <w:rPr>
          <w:rFonts w:ascii="Arial" w:eastAsia="SimSun" w:hAnsi="Arial" w:cs="Arial"/>
          <w:color w:val="000000"/>
          <w:kern w:val="0"/>
          <w:sz w:val="20"/>
          <w:szCs w:val="20"/>
        </w:rPr>
        <w:t>Articles from Diabetes Care are provided here courtesy of </w:t>
      </w:r>
      <w:r w:rsidRPr="00B05A92">
        <w:rPr>
          <w:rFonts w:ascii="Arial" w:eastAsia="SimSun" w:hAnsi="Arial" w:cs="Arial"/>
          <w:b/>
          <w:bCs/>
          <w:color w:val="000000"/>
          <w:kern w:val="0"/>
          <w:sz w:val="20"/>
          <w:szCs w:val="20"/>
        </w:rPr>
        <w:t>American Diabetes Association</w:t>
      </w:r>
    </w:p>
    <w:p w:rsidR="00B05A92" w:rsidRPr="00B05A92" w:rsidRDefault="00B05A92" w:rsidP="00C85EB5">
      <w:pPr>
        <w:rPr>
          <w:rFonts w:hint="eastAsia"/>
        </w:rPr>
      </w:pPr>
    </w:p>
    <w:p w:rsidR="00155915" w:rsidRDefault="00155915" w:rsidP="00C85EB5"/>
    <w:sectPr w:rsidR="00155915" w:rsidSect="00BE1454">
      <w:pgSz w:w="12240" w:h="15840"/>
      <w:pgMar w:top="1440" w:right="1008" w:bottom="1008"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32A"/>
    <w:rsid w:val="000150D0"/>
    <w:rsid w:val="00020502"/>
    <w:rsid w:val="00024A4A"/>
    <w:rsid w:val="00041EF3"/>
    <w:rsid w:val="0004277A"/>
    <w:rsid w:val="000505D9"/>
    <w:rsid w:val="00056B2A"/>
    <w:rsid w:val="0006267C"/>
    <w:rsid w:val="0006281A"/>
    <w:rsid w:val="000723CF"/>
    <w:rsid w:val="000739AE"/>
    <w:rsid w:val="000A3E28"/>
    <w:rsid w:val="000C06EC"/>
    <w:rsid w:val="000C20CC"/>
    <w:rsid w:val="000C7DA4"/>
    <w:rsid w:val="000E08E9"/>
    <w:rsid w:val="00110053"/>
    <w:rsid w:val="00123CE4"/>
    <w:rsid w:val="00123FBD"/>
    <w:rsid w:val="00136C5E"/>
    <w:rsid w:val="001442CC"/>
    <w:rsid w:val="00144A6C"/>
    <w:rsid w:val="00154883"/>
    <w:rsid w:val="00155915"/>
    <w:rsid w:val="001619EA"/>
    <w:rsid w:val="00164FE7"/>
    <w:rsid w:val="00177ACD"/>
    <w:rsid w:val="0019041C"/>
    <w:rsid w:val="001B2935"/>
    <w:rsid w:val="001B78AB"/>
    <w:rsid w:val="001C40D0"/>
    <w:rsid w:val="001C65AF"/>
    <w:rsid w:val="001C7E95"/>
    <w:rsid w:val="001D4B20"/>
    <w:rsid w:val="002043A5"/>
    <w:rsid w:val="00207210"/>
    <w:rsid w:val="00213FD2"/>
    <w:rsid w:val="00226B1E"/>
    <w:rsid w:val="0023793A"/>
    <w:rsid w:val="00253AAE"/>
    <w:rsid w:val="00292785"/>
    <w:rsid w:val="00294C31"/>
    <w:rsid w:val="002A4F40"/>
    <w:rsid w:val="002C7BEC"/>
    <w:rsid w:val="002D132A"/>
    <w:rsid w:val="002E3910"/>
    <w:rsid w:val="002E5970"/>
    <w:rsid w:val="002F0007"/>
    <w:rsid w:val="00302892"/>
    <w:rsid w:val="00304AEB"/>
    <w:rsid w:val="00305F70"/>
    <w:rsid w:val="00316747"/>
    <w:rsid w:val="00325A7D"/>
    <w:rsid w:val="00332BEC"/>
    <w:rsid w:val="00334764"/>
    <w:rsid w:val="0033629E"/>
    <w:rsid w:val="003459AA"/>
    <w:rsid w:val="003468D2"/>
    <w:rsid w:val="00351023"/>
    <w:rsid w:val="00361D00"/>
    <w:rsid w:val="0037355C"/>
    <w:rsid w:val="00396C88"/>
    <w:rsid w:val="00397DCD"/>
    <w:rsid w:val="003A4B2A"/>
    <w:rsid w:val="003B4E9E"/>
    <w:rsid w:val="003B6AEE"/>
    <w:rsid w:val="003B7603"/>
    <w:rsid w:val="003B7E6B"/>
    <w:rsid w:val="003C2415"/>
    <w:rsid w:val="003C7035"/>
    <w:rsid w:val="003D1529"/>
    <w:rsid w:val="003D2DA0"/>
    <w:rsid w:val="003D4B66"/>
    <w:rsid w:val="003F6F6F"/>
    <w:rsid w:val="00415F79"/>
    <w:rsid w:val="004234D8"/>
    <w:rsid w:val="00437A9B"/>
    <w:rsid w:val="00443910"/>
    <w:rsid w:val="004465EA"/>
    <w:rsid w:val="00454377"/>
    <w:rsid w:val="0047440A"/>
    <w:rsid w:val="004A760A"/>
    <w:rsid w:val="004A78F1"/>
    <w:rsid w:val="004B18B3"/>
    <w:rsid w:val="004C64F0"/>
    <w:rsid w:val="004C7539"/>
    <w:rsid w:val="004F10BC"/>
    <w:rsid w:val="00500CED"/>
    <w:rsid w:val="005028A9"/>
    <w:rsid w:val="0053752D"/>
    <w:rsid w:val="005651A2"/>
    <w:rsid w:val="00571861"/>
    <w:rsid w:val="00581538"/>
    <w:rsid w:val="005B33A9"/>
    <w:rsid w:val="005C2D2D"/>
    <w:rsid w:val="005C7155"/>
    <w:rsid w:val="005D1761"/>
    <w:rsid w:val="005D2813"/>
    <w:rsid w:val="005D3815"/>
    <w:rsid w:val="005D3C27"/>
    <w:rsid w:val="005E37CD"/>
    <w:rsid w:val="005F7DA5"/>
    <w:rsid w:val="00600E14"/>
    <w:rsid w:val="00605FCB"/>
    <w:rsid w:val="00625CFF"/>
    <w:rsid w:val="00642301"/>
    <w:rsid w:val="00653A81"/>
    <w:rsid w:val="006569E2"/>
    <w:rsid w:val="0066270A"/>
    <w:rsid w:val="00666615"/>
    <w:rsid w:val="006716EB"/>
    <w:rsid w:val="00675F95"/>
    <w:rsid w:val="00680CD4"/>
    <w:rsid w:val="00681B55"/>
    <w:rsid w:val="006860BE"/>
    <w:rsid w:val="0069786F"/>
    <w:rsid w:val="006A7B2D"/>
    <w:rsid w:val="006C1757"/>
    <w:rsid w:val="006C2CC2"/>
    <w:rsid w:val="006C5AA6"/>
    <w:rsid w:val="006D5FB6"/>
    <w:rsid w:val="006D6B09"/>
    <w:rsid w:val="006E17ED"/>
    <w:rsid w:val="006E7818"/>
    <w:rsid w:val="006F4CBB"/>
    <w:rsid w:val="006F5024"/>
    <w:rsid w:val="00703504"/>
    <w:rsid w:val="007046B0"/>
    <w:rsid w:val="0072623B"/>
    <w:rsid w:val="00741658"/>
    <w:rsid w:val="0074737D"/>
    <w:rsid w:val="007541F1"/>
    <w:rsid w:val="00764AA5"/>
    <w:rsid w:val="00765102"/>
    <w:rsid w:val="00767453"/>
    <w:rsid w:val="007927DD"/>
    <w:rsid w:val="007A09D1"/>
    <w:rsid w:val="007B62F7"/>
    <w:rsid w:val="007D09FC"/>
    <w:rsid w:val="007D45BF"/>
    <w:rsid w:val="007D5AB7"/>
    <w:rsid w:val="007E6859"/>
    <w:rsid w:val="007E7BEF"/>
    <w:rsid w:val="007F5E74"/>
    <w:rsid w:val="008065D6"/>
    <w:rsid w:val="00820A08"/>
    <w:rsid w:val="008377AD"/>
    <w:rsid w:val="00844D0F"/>
    <w:rsid w:val="00845C4A"/>
    <w:rsid w:val="008472E5"/>
    <w:rsid w:val="00855409"/>
    <w:rsid w:val="00855685"/>
    <w:rsid w:val="00857E4F"/>
    <w:rsid w:val="008828A9"/>
    <w:rsid w:val="00885BEE"/>
    <w:rsid w:val="008A06F6"/>
    <w:rsid w:val="008B0781"/>
    <w:rsid w:val="008C30C0"/>
    <w:rsid w:val="008C3778"/>
    <w:rsid w:val="0090152A"/>
    <w:rsid w:val="00927AAF"/>
    <w:rsid w:val="00941743"/>
    <w:rsid w:val="009545D5"/>
    <w:rsid w:val="00957DF8"/>
    <w:rsid w:val="00965356"/>
    <w:rsid w:val="00971950"/>
    <w:rsid w:val="0097510E"/>
    <w:rsid w:val="00981F2C"/>
    <w:rsid w:val="009834D3"/>
    <w:rsid w:val="009837E2"/>
    <w:rsid w:val="009A12D1"/>
    <w:rsid w:val="009A50A6"/>
    <w:rsid w:val="009E3F73"/>
    <w:rsid w:val="009E4765"/>
    <w:rsid w:val="009E51FC"/>
    <w:rsid w:val="009E651C"/>
    <w:rsid w:val="009F39D1"/>
    <w:rsid w:val="009F5ED9"/>
    <w:rsid w:val="00A06F83"/>
    <w:rsid w:val="00A27364"/>
    <w:rsid w:val="00A3003F"/>
    <w:rsid w:val="00A34F9D"/>
    <w:rsid w:val="00A41340"/>
    <w:rsid w:val="00A45811"/>
    <w:rsid w:val="00A54476"/>
    <w:rsid w:val="00A7260F"/>
    <w:rsid w:val="00A81A36"/>
    <w:rsid w:val="00AA5951"/>
    <w:rsid w:val="00AB0D8E"/>
    <w:rsid w:val="00AB5AA5"/>
    <w:rsid w:val="00AC0B8A"/>
    <w:rsid w:val="00AC3D98"/>
    <w:rsid w:val="00AC5522"/>
    <w:rsid w:val="00AF1D1E"/>
    <w:rsid w:val="00B0245D"/>
    <w:rsid w:val="00B05A92"/>
    <w:rsid w:val="00B16472"/>
    <w:rsid w:val="00B46EC8"/>
    <w:rsid w:val="00B67F48"/>
    <w:rsid w:val="00B8520F"/>
    <w:rsid w:val="00B85B69"/>
    <w:rsid w:val="00B91786"/>
    <w:rsid w:val="00B931C5"/>
    <w:rsid w:val="00BA4E0F"/>
    <w:rsid w:val="00BA6B1B"/>
    <w:rsid w:val="00BB6B77"/>
    <w:rsid w:val="00BC08FF"/>
    <w:rsid w:val="00BD4F8E"/>
    <w:rsid w:val="00BE1454"/>
    <w:rsid w:val="00BF06EA"/>
    <w:rsid w:val="00C108CF"/>
    <w:rsid w:val="00C24261"/>
    <w:rsid w:val="00C30317"/>
    <w:rsid w:val="00C409ED"/>
    <w:rsid w:val="00C543D6"/>
    <w:rsid w:val="00C57756"/>
    <w:rsid w:val="00C57885"/>
    <w:rsid w:val="00C85EB5"/>
    <w:rsid w:val="00CA7F89"/>
    <w:rsid w:val="00CB09F8"/>
    <w:rsid w:val="00CC106C"/>
    <w:rsid w:val="00CE34C2"/>
    <w:rsid w:val="00CF260D"/>
    <w:rsid w:val="00D12CE6"/>
    <w:rsid w:val="00D16E70"/>
    <w:rsid w:val="00D200D3"/>
    <w:rsid w:val="00D65A56"/>
    <w:rsid w:val="00D668F1"/>
    <w:rsid w:val="00D67B5A"/>
    <w:rsid w:val="00D72C98"/>
    <w:rsid w:val="00D74BB0"/>
    <w:rsid w:val="00D812D0"/>
    <w:rsid w:val="00D83C60"/>
    <w:rsid w:val="00D850E5"/>
    <w:rsid w:val="00DA68E1"/>
    <w:rsid w:val="00DA7795"/>
    <w:rsid w:val="00DD15B4"/>
    <w:rsid w:val="00DE763E"/>
    <w:rsid w:val="00DF48D5"/>
    <w:rsid w:val="00E0515A"/>
    <w:rsid w:val="00E07A47"/>
    <w:rsid w:val="00E2140C"/>
    <w:rsid w:val="00E27CF5"/>
    <w:rsid w:val="00E41490"/>
    <w:rsid w:val="00E54AF1"/>
    <w:rsid w:val="00E645AF"/>
    <w:rsid w:val="00E71F05"/>
    <w:rsid w:val="00E83EA3"/>
    <w:rsid w:val="00E93CB5"/>
    <w:rsid w:val="00E9501F"/>
    <w:rsid w:val="00EC5D31"/>
    <w:rsid w:val="00ED79E3"/>
    <w:rsid w:val="00EE2A5A"/>
    <w:rsid w:val="00EF6E52"/>
    <w:rsid w:val="00F01527"/>
    <w:rsid w:val="00F07D95"/>
    <w:rsid w:val="00F3051A"/>
    <w:rsid w:val="00F37EB7"/>
    <w:rsid w:val="00F41428"/>
    <w:rsid w:val="00F43516"/>
    <w:rsid w:val="00F45494"/>
    <w:rsid w:val="00F63F74"/>
    <w:rsid w:val="00F665DF"/>
    <w:rsid w:val="00F753F5"/>
    <w:rsid w:val="00F96276"/>
    <w:rsid w:val="00FA7FE1"/>
    <w:rsid w:val="00FB3069"/>
    <w:rsid w:val="00FB36B9"/>
    <w:rsid w:val="00FB5313"/>
    <w:rsid w:val="00FE00B1"/>
    <w:rsid w:val="00FE7F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AB290"/>
  <w15:chartTrackingRefBased/>
  <w15:docId w15:val="{5EB17B76-4770-496E-9A6B-932ECDA6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05A92"/>
    <w:pPr>
      <w:widowControl/>
      <w:spacing w:before="100" w:beforeAutospacing="1" w:after="100" w:afterAutospacing="1"/>
      <w:jc w:val="left"/>
      <w:outlineLvl w:val="0"/>
    </w:pPr>
    <w:rPr>
      <w:rFonts w:ascii="SimSun" w:eastAsia="SimSun" w:hAnsi="SimSun" w:cs="SimSun"/>
      <w:b/>
      <w:bCs/>
      <w:kern w:val="36"/>
      <w:sz w:val="48"/>
      <w:szCs w:val="48"/>
    </w:rPr>
  </w:style>
  <w:style w:type="paragraph" w:styleId="Heading2">
    <w:name w:val="heading 2"/>
    <w:basedOn w:val="Normal"/>
    <w:link w:val="Heading2Char"/>
    <w:uiPriority w:val="9"/>
    <w:qFormat/>
    <w:rsid w:val="00B05A92"/>
    <w:pPr>
      <w:widowControl/>
      <w:spacing w:before="100" w:beforeAutospacing="1" w:after="100" w:afterAutospacing="1"/>
      <w:jc w:val="left"/>
      <w:outlineLvl w:val="1"/>
    </w:pPr>
    <w:rPr>
      <w:rFonts w:ascii="SimSun" w:eastAsia="SimSun" w:hAnsi="SimSun" w:cs="SimSun"/>
      <w:b/>
      <w:bCs/>
      <w:kern w:val="0"/>
      <w:sz w:val="36"/>
      <w:szCs w:val="36"/>
    </w:rPr>
  </w:style>
  <w:style w:type="paragraph" w:styleId="Heading3">
    <w:name w:val="heading 3"/>
    <w:basedOn w:val="Normal"/>
    <w:link w:val="Heading3Char"/>
    <w:uiPriority w:val="9"/>
    <w:qFormat/>
    <w:rsid w:val="00B05A92"/>
    <w:pPr>
      <w:widowControl/>
      <w:spacing w:before="100" w:beforeAutospacing="1" w:after="100" w:afterAutospacing="1"/>
      <w:jc w:val="left"/>
      <w:outlineLvl w:val="2"/>
    </w:pPr>
    <w:rPr>
      <w:rFonts w:ascii="SimSun" w:eastAsia="SimSun" w:hAnsi="SimSun" w:cs="SimSun"/>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A92"/>
    <w:rPr>
      <w:rFonts w:ascii="SimSun" w:eastAsia="SimSun" w:hAnsi="SimSun" w:cs="SimSun"/>
      <w:b/>
      <w:bCs/>
      <w:kern w:val="36"/>
      <w:sz w:val="48"/>
      <w:szCs w:val="48"/>
    </w:rPr>
  </w:style>
  <w:style w:type="character" w:customStyle="1" w:styleId="Heading2Char">
    <w:name w:val="Heading 2 Char"/>
    <w:basedOn w:val="DefaultParagraphFont"/>
    <w:link w:val="Heading2"/>
    <w:uiPriority w:val="9"/>
    <w:rsid w:val="00B05A92"/>
    <w:rPr>
      <w:rFonts w:ascii="SimSun" w:eastAsia="SimSun" w:hAnsi="SimSun" w:cs="SimSun"/>
      <w:b/>
      <w:bCs/>
      <w:kern w:val="0"/>
      <w:sz w:val="36"/>
      <w:szCs w:val="36"/>
    </w:rPr>
  </w:style>
  <w:style w:type="character" w:customStyle="1" w:styleId="Heading3Char">
    <w:name w:val="Heading 3 Char"/>
    <w:basedOn w:val="DefaultParagraphFont"/>
    <w:link w:val="Heading3"/>
    <w:uiPriority w:val="9"/>
    <w:rsid w:val="00B05A92"/>
    <w:rPr>
      <w:rFonts w:ascii="SimSun" w:eastAsia="SimSun" w:hAnsi="SimSun" w:cs="SimSun"/>
      <w:b/>
      <w:bCs/>
      <w:kern w:val="0"/>
      <w:sz w:val="27"/>
      <w:szCs w:val="27"/>
    </w:rPr>
  </w:style>
  <w:style w:type="character" w:customStyle="1" w:styleId="cit">
    <w:name w:val="cit"/>
    <w:basedOn w:val="DefaultParagraphFont"/>
    <w:rsid w:val="00B05A92"/>
  </w:style>
  <w:style w:type="character" w:styleId="Hyperlink">
    <w:name w:val="Hyperlink"/>
    <w:basedOn w:val="DefaultParagraphFont"/>
    <w:uiPriority w:val="99"/>
    <w:unhideWhenUsed/>
    <w:rsid w:val="00B05A92"/>
    <w:rPr>
      <w:color w:val="0000FF"/>
      <w:u w:val="single"/>
    </w:rPr>
  </w:style>
  <w:style w:type="character" w:customStyle="1" w:styleId="fm-vol-iss-date">
    <w:name w:val="fm-vol-iss-date"/>
    <w:basedOn w:val="DefaultParagraphFont"/>
    <w:rsid w:val="00B05A92"/>
  </w:style>
  <w:style w:type="character" w:customStyle="1" w:styleId="doi">
    <w:name w:val="doi"/>
    <w:basedOn w:val="DefaultParagraphFont"/>
    <w:rsid w:val="00B05A92"/>
  </w:style>
  <w:style w:type="character" w:customStyle="1" w:styleId="fm-citation-ids-label">
    <w:name w:val="fm-citation-ids-label"/>
    <w:basedOn w:val="DefaultParagraphFont"/>
    <w:rsid w:val="00B05A92"/>
  </w:style>
  <w:style w:type="paragraph" w:customStyle="1" w:styleId="p">
    <w:name w:val="p"/>
    <w:basedOn w:val="Normal"/>
    <w:rsid w:val="00B05A92"/>
    <w:pPr>
      <w:widowControl/>
      <w:spacing w:before="100" w:beforeAutospacing="1" w:after="100" w:afterAutospacing="1"/>
      <w:jc w:val="left"/>
    </w:pPr>
    <w:rPr>
      <w:rFonts w:ascii="SimSun" w:eastAsia="SimSun" w:hAnsi="SimSun" w:cs="SimSun"/>
      <w:kern w:val="0"/>
      <w:sz w:val="24"/>
      <w:szCs w:val="24"/>
    </w:rPr>
  </w:style>
  <w:style w:type="paragraph" w:styleId="NormalWeb">
    <w:name w:val="Normal (Web)"/>
    <w:basedOn w:val="Normal"/>
    <w:uiPriority w:val="99"/>
    <w:semiHidden/>
    <w:unhideWhenUsed/>
    <w:rsid w:val="00B05A92"/>
    <w:pPr>
      <w:widowControl/>
      <w:spacing w:before="100" w:beforeAutospacing="1" w:after="100" w:afterAutospacing="1"/>
      <w:jc w:val="left"/>
    </w:pPr>
    <w:rPr>
      <w:rFonts w:ascii="SimSun" w:eastAsia="SimSun" w:hAnsi="SimSun" w:cs="SimSun"/>
      <w:kern w:val="0"/>
      <w:sz w:val="24"/>
      <w:szCs w:val="24"/>
    </w:rPr>
  </w:style>
  <w:style w:type="character" w:styleId="Emphasis">
    <w:name w:val="Emphasis"/>
    <w:basedOn w:val="DefaultParagraphFont"/>
    <w:uiPriority w:val="20"/>
    <w:qFormat/>
    <w:rsid w:val="00B05A92"/>
    <w:rPr>
      <w:i/>
      <w:iCs/>
    </w:rPr>
  </w:style>
  <w:style w:type="character" w:customStyle="1" w:styleId="mixed-citation">
    <w:name w:val="mixed-citation"/>
    <w:basedOn w:val="DefaultParagraphFont"/>
    <w:rsid w:val="00B05A92"/>
  </w:style>
  <w:style w:type="character" w:customStyle="1" w:styleId="ref-title">
    <w:name w:val="ref-title"/>
    <w:basedOn w:val="DefaultParagraphFont"/>
    <w:rsid w:val="00B05A92"/>
  </w:style>
  <w:style w:type="character" w:customStyle="1" w:styleId="ref-journal">
    <w:name w:val="ref-journal"/>
    <w:basedOn w:val="DefaultParagraphFont"/>
    <w:rsid w:val="00B05A92"/>
  </w:style>
  <w:style w:type="character" w:customStyle="1" w:styleId="ref-vol">
    <w:name w:val="ref-vol"/>
    <w:basedOn w:val="DefaultParagraphFont"/>
    <w:rsid w:val="00B05A92"/>
  </w:style>
  <w:style w:type="character" w:customStyle="1" w:styleId="nowrap">
    <w:name w:val="nowrap"/>
    <w:basedOn w:val="DefaultParagraphFont"/>
    <w:rsid w:val="00B05A92"/>
  </w:style>
  <w:style w:type="character" w:customStyle="1" w:styleId="acknowledgment-journal-title">
    <w:name w:val="acknowledgment-journal-title"/>
    <w:basedOn w:val="DefaultParagraphFont"/>
    <w:rsid w:val="00B05A92"/>
  </w:style>
  <w:style w:type="character" w:styleId="Strong">
    <w:name w:val="Strong"/>
    <w:basedOn w:val="DefaultParagraphFont"/>
    <w:uiPriority w:val="22"/>
    <w:qFormat/>
    <w:rsid w:val="00B05A92"/>
    <w:rPr>
      <w:b/>
      <w:bCs/>
    </w:rPr>
  </w:style>
  <w:style w:type="character" w:styleId="UnresolvedMention">
    <w:name w:val="Unresolved Mention"/>
    <w:basedOn w:val="DefaultParagraphFont"/>
    <w:uiPriority w:val="99"/>
    <w:semiHidden/>
    <w:unhideWhenUsed/>
    <w:rsid w:val="006E781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553842">
      <w:bodyDiv w:val="1"/>
      <w:marLeft w:val="0"/>
      <w:marRight w:val="0"/>
      <w:marTop w:val="0"/>
      <w:marBottom w:val="0"/>
      <w:divBdr>
        <w:top w:val="none" w:sz="0" w:space="0" w:color="auto"/>
        <w:left w:val="none" w:sz="0" w:space="0" w:color="auto"/>
        <w:bottom w:val="none" w:sz="0" w:space="0" w:color="auto"/>
        <w:right w:val="none" w:sz="0" w:space="0" w:color="auto"/>
      </w:divBdr>
    </w:div>
    <w:div w:id="1665283884">
      <w:bodyDiv w:val="1"/>
      <w:marLeft w:val="0"/>
      <w:marRight w:val="0"/>
      <w:marTop w:val="0"/>
      <w:marBottom w:val="0"/>
      <w:divBdr>
        <w:top w:val="none" w:sz="0" w:space="0" w:color="auto"/>
        <w:left w:val="none" w:sz="0" w:space="0" w:color="auto"/>
        <w:bottom w:val="none" w:sz="0" w:space="0" w:color="auto"/>
        <w:right w:val="none" w:sz="0" w:space="0" w:color="auto"/>
      </w:divBdr>
      <w:divsChild>
        <w:div w:id="1095595759">
          <w:marLeft w:val="0"/>
          <w:marRight w:val="0"/>
          <w:marTop w:val="0"/>
          <w:marBottom w:val="166"/>
          <w:divBdr>
            <w:top w:val="none" w:sz="0" w:space="0" w:color="auto"/>
            <w:left w:val="none" w:sz="0" w:space="0" w:color="auto"/>
            <w:bottom w:val="none" w:sz="0" w:space="0" w:color="auto"/>
            <w:right w:val="none" w:sz="0" w:space="0" w:color="auto"/>
          </w:divBdr>
          <w:divsChild>
            <w:div w:id="111749294">
              <w:marLeft w:val="0"/>
              <w:marRight w:val="0"/>
              <w:marTop w:val="0"/>
              <w:marBottom w:val="166"/>
              <w:divBdr>
                <w:top w:val="none" w:sz="0" w:space="0" w:color="auto"/>
                <w:left w:val="none" w:sz="0" w:space="0" w:color="auto"/>
                <w:bottom w:val="none" w:sz="0" w:space="0" w:color="auto"/>
                <w:right w:val="none" w:sz="0" w:space="0" w:color="auto"/>
              </w:divBdr>
              <w:divsChild>
                <w:div w:id="349990076">
                  <w:marLeft w:val="0"/>
                  <w:marRight w:val="0"/>
                  <w:marTop w:val="0"/>
                  <w:marBottom w:val="0"/>
                  <w:divBdr>
                    <w:top w:val="none" w:sz="0" w:space="0" w:color="auto"/>
                    <w:left w:val="none" w:sz="0" w:space="0" w:color="auto"/>
                    <w:bottom w:val="none" w:sz="0" w:space="0" w:color="auto"/>
                    <w:right w:val="none" w:sz="0" w:space="0" w:color="auto"/>
                  </w:divBdr>
                  <w:divsChild>
                    <w:div w:id="1837382356">
                      <w:marLeft w:val="0"/>
                      <w:marRight w:val="0"/>
                      <w:marTop w:val="0"/>
                      <w:marBottom w:val="0"/>
                      <w:divBdr>
                        <w:top w:val="none" w:sz="0" w:space="0" w:color="auto"/>
                        <w:left w:val="none" w:sz="0" w:space="0" w:color="auto"/>
                        <w:bottom w:val="none" w:sz="0" w:space="0" w:color="auto"/>
                        <w:right w:val="none" w:sz="0" w:space="0" w:color="auto"/>
                      </w:divBdr>
                      <w:divsChild>
                        <w:div w:id="1132095168">
                          <w:marLeft w:val="0"/>
                          <w:marRight w:val="0"/>
                          <w:marTop w:val="0"/>
                          <w:marBottom w:val="0"/>
                          <w:divBdr>
                            <w:top w:val="none" w:sz="0" w:space="0" w:color="auto"/>
                            <w:left w:val="none" w:sz="0" w:space="0" w:color="auto"/>
                            <w:bottom w:val="none" w:sz="0" w:space="0" w:color="auto"/>
                            <w:right w:val="none" w:sz="0" w:space="0" w:color="auto"/>
                          </w:divBdr>
                          <w:divsChild>
                            <w:div w:id="280302894">
                              <w:marLeft w:val="0"/>
                              <w:marRight w:val="0"/>
                              <w:marTop w:val="0"/>
                              <w:marBottom w:val="0"/>
                              <w:divBdr>
                                <w:top w:val="none" w:sz="0" w:space="0" w:color="auto"/>
                                <w:left w:val="none" w:sz="0" w:space="0" w:color="auto"/>
                                <w:bottom w:val="none" w:sz="0" w:space="0" w:color="auto"/>
                                <w:right w:val="none" w:sz="0" w:space="0" w:color="auto"/>
                              </w:divBdr>
                            </w:div>
                            <w:div w:id="20225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073622">
                      <w:marLeft w:val="0"/>
                      <w:marRight w:val="0"/>
                      <w:marTop w:val="0"/>
                      <w:marBottom w:val="0"/>
                      <w:divBdr>
                        <w:top w:val="none" w:sz="0" w:space="0" w:color="auto"/>
                        <w:left w:val="none" w:sz="0" w:space="0" w:color="auto"/>
                        <w:bottom w:val="none" w:sz="0" w:space="0" w:color="auto"/>
                        <w:right w:val="none" w:sz="0" w:space="0" w:color="auto"/>
                      </w:divBdr>
                      <w:divsChild>
                        <w:div w:id="208340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08328">
              <w:marLeft w:val="0"/>
              <w:marRight w:val="0"/>
              <w:marTop w:val="0"/>
              <w:marBottom w:val="0"/>
              <w:divBdr>
                <w:top w:val="none" w:sz="0" w:space="0" w:color="auto"/>
                <w:left w:val="none" w:sz="0" w:space="0" w:color="auto"/>
                <w:bottom w:val="none" w:sz="0" w:space="0" w:color="auto"/>
                <w:right w:val="none" w:sz="0" w:space="0" w:color="auto"/>
              </w:divBdr>
            </w:div>
            <w:div w:id="736712195">
              <w:marLeft w:val="0"/>
              <w:marRight w:val="0"/>
              <w:marTop w:val="166"/>
              <w:marBottom w:val="166"/>
              <w:divBdr>
                <w:top w:val="none" w:sz="0" w:space="0" w:color="auto"/>
                <w:left w:val="none" w:sz="0" w:space="0" w:color="auto"/>
                <w:bottom w:val="none" w:sz="0" w:space="0" w:color="auto"/>
                <w:right w:val="none" w:sz="0" w:space="0" w:color="auto"/>
              </w:divBdr>
              <w:divsChild>
                <w:div w:id="1630281921">
                  <w:marLeft w:val="0"/>
                  <w:marRight w:val="0"/>
                  <w:marTop w:val="0"/>
                  <w:marBottom w:val="0"/>
                  <w:divBdr>
                    <w:top w:val="none" w:sz="0" w:space="0" w:color="auto"/>
                    <w:left w:val="none" w:sz="0" w:space="0" w:color="auto"/>
                    <w:bottom w:val="none" w:sz="0" w:space="0" w:color="auto"/>
                    <w:right w:val="none" w:sz="0" w:space="0" w:color="auto"/>
                  </w:divBdr>
                </w:div>
              </w:divsChild>
            </w:div>
            <w:div w:id="719129532">
              <w:marLeft w:val="0"/>
              <w:marRight w:val="0"/>
              <w:marTop w:val="166"/>
              <w:marBottom w:val="166"/>
              <w:divBdr>
                <w:top w:val="none" w:sz="0" w:space="0" w:color="auto"/>
                <w:left w:val="none" w:sz="0" w:space="0" w:color="auto"/>
                <w:bottom w:val="none" w:sz="0" w:space="0" w:color="auto"/>
                <w:right w:val="none" w:sz="0" w:space="0" w:color="auto"/>
              </w:divBdr>
              <w:divsChild>
                <w:div w:id="1557162279">
                  <w:marLeft w:val="0"/>
                  <w:marRight w:val="0"/>
                  <w:marTop w:val="0"/>
                  <w:marBottom w:val="0"/>
                  <w:divBdr>
                    <w:top w:val="none" w:sz="0" w:space="0" w:color="auto"/>
                    <w:left w:val="none" w:sz="0" w:space="0" w:color="auto"/>
                    <w:bottom w:val="none" w:sz="0" w:space="0" w:color="auto"/>
                    <w:right w:val="none" w:sz="0" w:space="0" w:color="auto"/>
                  </w:divBdr>
                </w:div>
              </w:divsChild>
            </w:div>
            <w:div w:id="1811438917">
              <w:marLeft w:val="0"/>
              <w:marRight w:val="0"/>
              <w:marTop w:val="332"/>
              <w:marBottom w:val="332"/>
              <w:divBdr>
                <w:top w:val="single" w:sz="6" w:space="5" w:color="EAC3AF"/>
                <w:left w:val="single" w:sz="6" w:space="8" w:color="EAC3AF"/>
                <w:bottom w:val="single" w:sz="6" w:space="5" w:color="EAC3AF"/>
                <w:right w:val="single" w:sz="6" w:space="8" w:color="EAC3AF"/>
              </w:divBdr>
              <w:divsChild>
                <w:div w:id="216824930">
                  <w:marLeft w:val="0"/>
                  <w:marRight w:val="0"/>
                  <w:marTop w:val="0"/>
                  <w:marBottom w:val="0"/>
                  <w:divBdr>
                    <w:top w:val="none" w:sz="0" w:space="0" w:color="auto"/>
                    <w:left w:val="none" w:sz="0" w:space="0" w:color="auto"/>
                    <w:bottom w:val="none" w:sz="0" w:space="0" w:color="auto"/>
                    <w:right w:val="none" w:sz="0" w:space="0" w:color="auto"/>
                  </w:divBdr>
                  <w:divsChild>
                    <w:div w:id="74549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570824">
          <w:marLeft w:val="0"/>
          <w:marRight w:val="0"/>
          <w:marTop w:val="0"/>
          <w:marBottom w:val="0"/>
          <w:divBdr>
            <w:top w:val="none" w:sz="0" w:space="0" w:color="auto"/>
            <w:left w:val="none" w:sz="0" w:space="0" w:color="auto"/>
            <w:bottom w:val="none" w:sz="0" w:space="0" w:color="auto"/>
            <w:right w:val="none" w:sz="0" w:space="0" w:color="auto"/>
          </w:divBdr>
          <w:divsChild>
            <w:div w:id="1214807054">
              <w:marLeft w:val="0"/>
              <w:marRight w:val="0"/>
              <w:marTop w:val="0"/>
              <w:marBottom w:val="0"/>
              <w:divBdr>
                <w:top w:val="none" w:sz="0" w:space="0" w:color="auto"/>
                <w:left w:val="none" w:sz="0" w:space="0" w:color="auto"/>
                <w:bottom w:val="none" w:sz="0" w:space="0" w:color="auto"/>
                <w:right w:val="none" w:sz="0" w:space="0" w:color="auto"/>
              </w:divBdr>
              <w:divsChild>
                <w:div w:id="1549415837">
                  <w:marLeft w:val="0"/>
                  <w:marRight w:val="0"/>
                  <w:marTop w:val="0"/>
                  <w:marBottom w:val="0"/>
                  <w:divBdr>
                    <w:top w:val="none" w:sz="0" w:space="0" w:color="auto"/>
                    <w:left w:val="none" w:sz="0" w:space="0" w:color="auto"/>
                    <w:bottom w:val="none" w:sz="0" w:space="0" w:color="auto"/>
                    <w:right w:val="none" w:sz="0" w:space="0" w:color="auto"/>
                  </w:divBdr>
                </w:div>
                <w:div w:id="1444687201">
                  <w:marLeft w:val="0"/>
                  <w:marRight w:val="0"/>
                  <w:marTop w:val="0"/>
                  <w:marBottom w:val="0"/>
                  <w:divBdr>
                    <w:top w:val="none" w:sz="0" w:space="0" w:color="auto"/>
                    <w:left w:val="none" w:sz="0" w:space="0" w:color="auto"/>
                    <w:bottom w:val="none" w:sz="0" w:space="0" w:color="auto"/>
                    <w:right w:val="none" w:sz="0" w:space="0" w:color="auto"/>
                  </w:divBdr>
                </w:div>
                <w:div w:id="88087628">
                  <w:marLeft w:val="0"/>
                  <w:marRight w:val="0"/>
                  <w:marTop w:val="0"/>
                  <w:marBottom w:val="0"/>
                  <w:divBdr>
                    <w:top w:val="none" w:sz="0" w:space="0" w:color="auto"/>
                    <w:left w:val="none" w:sz="0" w:space="0" w:color="auto"/>
                    <w:bottom w:val="none" w:sz="0" w:space="0" w:color="auto"/>
                    <w:right w:val="none" w:sz="0" w:space="0" w:color="auto"/>
                  </w:divBdr>
                </w:div>
                <w:div w:id="7380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691">
          <w:marLeft w:val="0"/>
          <w:marRight w:val="0"/>
          <w:marTop w:val="332"/>
          <w:marBottom w:val="332"/>
          <w:divBdr>
            <w:top w:val="single" w:sz="6" w:space="0" w:color="97B0C8"/>
            <w:left w:val="none" w:sz="0" w:space="0" w:color="auto"/>
            <w:bottom w:val="none" w:sz="0" w:space="0" w:color="auto"/>
            <w:right w:val="none" w:sz="0" w:space="0" w:color="auto"/>
          </w:divBdr>
        </w:div>
        <w:div w:id="2050109290">
          <w:marLeft w:val="0"/>
          <w:marRight w:val="0"/>
          <w:marTop w:val="0"/>
          <w:marBottom w:val="0"/>
          <w:divBdr>
            <w:top w:val="none" w:sz="0" w:space="0" w:color="auto"/>
            <w:left w:val="none" w:sz="0" w:space="0" w:color="auto"/>
            <w:bottom w:val="none" w:sz="0" w:space="0" w:color="auto"/>
            <w:right w:val="none" w:sz="0" w:space="0" w:color="auto"/>
          </w:divBdr>
          <w:divsChild>
            <w:div w:id="1049190224">
              <w:marLeft w:val="0"/>
              <w:marRight w:val="0"/>
              <w:marTop w:val="0"/>
              <w:marBottom w:val="0"/>
              <w:divBdr>
                <w:top w:val="none" w:sz="0" w:space="0" w:color="auto"/>
                <w:left w:val="none" w:sz="0" w:space="0" w:color="auto"/>
                <w:bottom w:val="none" w:sz="0" w:space="0" w:color="auto"/>
                <w:right w:val="none" w:sz="0" w:space="0" w:color="auto"/>
              </w:divBdr>
            </w:div>
            <w:div w:id="400564060">
              <w:marLeft w:val="0"/>
              <w:marRight w:val="0"/>
              <w:marTop w:val="0"/>
              <w:marBottom w:val="0"/>
              <w:divBdr>
                <w:top w:val="none" w:sz="0" w:space="0" w:color="auto"/>
                <w:left w:val="none" w:sz="0" w:space="0" w:color="auto"/>
                <w:bottom w:val="none" w:sz="0" w:space="0" w:color="auto"/>
                <w:right w:val="none" w:sz="0" w:space="0" w:color="auto"/>
              </w:divBdr>
            </w:div>
            <w:div w:id="347679925">
              <w:marLeft w:val="0"/>
              <w:marRight w:val="0"/>
              <w:marTop w:val="0"/>
              <w:marBottom w:val="0"/>
              <w:divBdr>
                <w:top w:val="none" w:sz="0" w:space="0" w:color="auto"/>
                <w:left w:val="none" w:sz="0" w:space="0" w:color="auto"/>
                <w:bottom w:val="none" w:sz="0" w:space="0" w:color="auto"/>
                <w:right w:val="none" w:sz="0" w:space="0" w:color="auto"/>
              </w:divBdr>
            </w:div>
            <w:div w:id="1141658195">
              <w:marLeft w:val="0"/>
              <w:marRight w:val="0"/>
              <w:marTop w:val="0"/>
              <w:marBottom w:val="0"/>
              <w:divBdr>
                <w:top w:val="none" w:sz="0" w:space="0" w:color="auto"/>
                <w:left w:val="none" w:sz="0" w:space="0" w:color="auto"/>
                <w:bottom w:val="none" w:sz="0" w:space="0" w:color="auto"/>
                <w:right w:val="none" w:sz="0" w:space="0" w:color="auto"/>
              </w:divBdr>
            </w:div>
            <w:div w:id="1199778706">
              <w:marLeft w:val="0"/>
              <w:marRight w:val="0"/>
              <w:marTop w:val="0"/>
              <w:marBottom w:val="0"/>
              <w:divBdr>
                <w:top w:val="none" w:sz="0" w:space="0" w:color="auto"/>
                <w:left w:val="none" w:sz="0" w:space="0" w:color="auto"/>
                <w:bottom w:val="none" w:sz="0" w:space="0" w:color="auto"/>
                <w:right w:val="none" w:sz="0" w:space="0" w:color="auto"/>
              </w:divBdr>
            </w:div>
            <w:div w:id="444809033">
              <w:marLeft w:val="0"/>
              <w:marRight w:val="0"/>
              <w:marTop w:val="0"/>
              <w:marBottom w:val="0"/>
              <w:divBdr>
                <w:top w:val="none" w:sz="0" w:space="0" w:color="auto"/>
                <w:left w:val="none" w:sz="0" w:space="0" w:color="auto"/>
                <w:bottom w:val="none" w:sz="0" w:space="0" w:color="auto"/>
                <w:right w:val="none" w:sz="0" w:space="0" w:color="auto"/>
              </w:divBdr>
            </w:div>
            <w:div w:id="2135754519">
              <w:marLeft w:val="0"/>
              <w:marRight w:val="0"/>
              <w:marTop w:val="0"/>
              <w:marBottom w:val="0"/>
              <w:divBdr>
                <w:top w:val="none" w:sz="0" w:space="0" w:color="auto"/>
                <w:left w:val="none" w:sz="0" w:space="0" w:color="auto"/>
                <w:bottom w:val="none" w:sz="0" w:space="0" w:color="auto"/>
                <w:right w:val="none" w:sz="0" w:space="0" w:color="auto"/>
              </w:divBdr>
            </w:div>
          </w:divsChild>
        </w:div>
        <w:div w:id="1996840486">
          <w:marLeft w:val="0"/>
          <w:marRight w:val="0"/>
          <w:marTop w:val="0"/>
          <w:marBottom w:val="0"/>
          <w:divBdr>
            <w:top w:val="none" w:sz="0" w:space="0" w:color="auto"/>
            <w:left w:val="none" w:sz="0" w:space="0" w:color="auto"/>
            <w:bottom w:val="none" w:sz="0" w:space="0" w:color="auto"/>
            <w:right w:val="none" w:sz="0" w:space="0" w:color="auto"/>
          </w:divBdr>
          <w:divsChild>
            <w:div w:id="208497220">
              <w:marLeft w:val="0"/>
              <w:marRight w:val="0"/>
              <w:marTop w:val="0"/>
              <w:marBottom w:val="0"/>
              <w:divBdr>
                <w:top w:val="none" w:sz="0" w:space="0" w:color="auto"/>
                <w:left w:val="none" w:sz="0" w:space="0" w:color="auto"/>
                <w:bottom w:val="none" w:sz="0" w:space="0" w:color="auto"/>
                <w:right w:val="none" w:sz="0" w:space="0" w:color="auto"/>
              </w:divBdr>
            </w:div>
            <w:div w:id="891887568">
              <w:marLeft w:val="0"/>
              <w:marRight w:val="0"/>
              <w:marTop w:val="0"/>
              <w:marBottom w:val="0"/>
              <w:divBdr>
                <w:top w:val="none" w:sz="0" w:space="0" w:color="auto"/>
                <w:left w:val="none" w:sz="0" w:space="0" w:color="auto"/>
                <w:bottom w:val="none" w:sz="0" w:space="0" w:color="auto"/>
                <w:right w:val="none" w:sz="0" w:space="0" w:color="auto"/>
              </w:divBdr>
              <w:divsChild>
                <w:div w:id="671495338">
                  <w:marLeft w:val="0"/>
                  <w:marRight w:val="0"/>
                  <w:marTop w:val="332"/>
                  <w:marBottom w:val="332"/>
                  <w:divBdr>
                    <w:top w:val="none" w:sz="0" w:space="0" w:color="auto"/>
                    <w:left w:val="none" w:sz="0" w:space="0" w:color="auto"/>
                    <w:bottom w:val="none" w:sz="0" w:space="0" w:color="auto"/>
                    <w:right w:val="none" w:sz="0" w:space="0" w:color="auto"/>
                  </w:divBdr>
                  <w:divsChild>
                    <w:div w:id="814492072">
                      <w:marLeft w:val="0"/>
                      <w:marRight w:val="0"/>
                      <w:marTop w:val="0"/>
                      <w:marBottom w:val="0"/>
                      <w:divBdr>
                        <w:top w:val="none" w:sz="0" w:space="0" w:color="auto"/>
                        <w:left w:val="none" w:sz="0" w:space="0" w:color="auto"/>
                        <w:bottom w:val="none" w:sz="0" w:space="0" w:color="auto"/>
                        <w:right w:val="none" w:sz="0" w:space="0" w:color="auto"/>
                      </w:divBdr>
                      <w:divsChild>
                        <w:div w:id="1551186170">
                          <w:marLeft w:val="0"/>
                          <w:marRight w:val="0"/>
                          <w:marTop w:val="0"/>
                          <w:marBottom w:val="0"/>
                          <w:divBdr>
                            <w:top w:val="none" w:sz="0" w:space="0" w:color="auto"/>
                            <w:left w:val="none" w:sz="0" w:space="0" w:color="auto"/>
                            <w:bottom w:val="none" w:sz="0" w:space="0" w:color="auto"/>
                            <w:right w:val="none" w:sz="0" w:space="0" w:color="auto"/>
                          </w:divBdr>
                        </w:div>
                        <w:div w:id="168153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608157">
                  <w:marLeft w:val="0"/>
                  <w:marRight w:val="0"/>
                  <w:marTop w:val="332"/>
                  <w:marBottom w:val="332"/>
                  <w:divBdr>
                    <w:top w:val="none" w:sz="0" w:space="0" w:color="auto"/>
                    <w:left w:val="none" w:sz="0" w:space="0" w:color="auto"/>
                    <w:bottom w:val="none" w:sz="0" w:space="0" w:color="auto"/>
                    <w:right w:val="none" w:sz="0" w:space="0" w:color="auto"/>
                  </w:divBdr>
                  <w:divsChild>
                    <w:div w:id="1924141069">
                      <w:marLeft w:val="0"/>
                      <w:marRight w:val="0"/>
                      <w:marTop w:val="0"/>
                      <w:marBottom w:val="0"/>
                      <w:divBdr>
                        <w:top w:val="none" w:sz="0" w:space="0" w:color="auto"/>
                        <w:left w:val="none" w:sz="0" w:space="0" w:color="auto"/>
                        <w:bottom w:val="none" w:sz="0" w:space="0" w:color="auto"/>
                        <w:right w:val="none" w:sz="0" w:space="0" w:color="auto"/>
                      </w:divBdr>
                      <w:divsChild>
                        <w:div w:id="1912691078">
                          <w:marLeft w:val="0"/>
                          <w:marRight w:val="0"/>
                          <w:marTop w:val="0"/>
                          <w:marBottom w:val="0"/>
                          <w:divBdr>
                            <w:top w:val="none" w:sz="0" w:space="0" w:color="auto"/>
                            <w:left w:val="none" w:sz="0" w:space="0" w:color="auto"/>
                            <w:bottom w:val="none" w:sz="0" w:space="0" w:color="auto"/>
                            <w:right w:val="none" w:sz="0" w:space="0" w:color="auto"/>
                          </w:divBdr>
                        </w:div>
                        <w:div w:id="6148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56921">
                  <w:marLeft w:val="0"/>
                  <w:marRight w:val="0"/>
                  <w:marTop w:val="332"/>
                  <w:marBottom w:val="332"/>
                  <w:divBdr>
                    <w:top w:val="none" w:sz="0" w:space="0" w:color="auto"/>
                    <w:left w:val="none" w:sz="0" w:space="0" w:color="auto"/>
                    <w:bottom w:val="none" w:sz="0" w:space="0" w:color="auto"/>
                    <w:right w:val="none" w:sz="0" w:space="0" w:color="auto"/>
                  </w:divBdr>
                  <w:divsChild>
                    <w:div w:id="217979520">
                      <w:marLeft w:val="0"/>
                      <w:marRight w:val="0"/>
                      <w:marTop w:val="0"/>
                      <w:marBottom w:val="0"/>
                      <w:divBdr>
                        <w:top w:val="none" w:sz="0" w:space="0" w:color="auto"/>
                        <w:left w:val="none" w:sz="0" w:space="0" w:color="auto"/>
                        <w:bottom w:val="none" w:sz="0" w:space="0" w:color="auto"/>
                        <w:right w:val="none" w:sz="0" w:space="0" w:color="auto"/>
                      </w:divBdr>
                      <w:divsChild>
                        <w:div w:id="1472363468">
                          <w:marLeft w:val="0"/>
                          <w:marRight w:val="0"/>
                          <w:marTop w:val="0"/>
                          <w:marBottom w:val="0"/>
                          <w:divBdr>
                            <w:top w:val="none" w:sz="0" w:space="0" w:color="auto"/>
                            <w:left w:val="none" w:sz="0" w:space="0" w:color="auto"/>
                            <w:bottom w:val="none" w:sz="0" w:space="0" w:color="auto"/>
                            <w:right w:val="none" w:sz="0" w:space="0" w:color="auto"/>
                          </w:divBdr>
                        </w:div>
                        <w:div w:id="170756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850224">
          <w:marLeft w:val="0"/>
          <w:marRight w:val="0"/>
          <w:marTop w:val="0"/>
          <w:marBottom w:val="0"/>
          <w:divBdr>
            <w:top w:val="none" w:sz="0" w:space="0" w:color="auto"/>
            <w:left w:val="none" w:sz="0" w:space="0" w:color="auto"/>
            <w:bottom w:val="none" w:sz="0" w:space="0" w:color="auto"/>
            <w:right w:val="none" w:sz="0" w:space="0" w:color="auto"/>
          </w:divBdr>
        </w:div>
        <w:div w:id="787620828">
          <w:marLeft w:val="0"/>
          <w:marRight w:val="0"/>
          <w:marTop w:val="0"/>
          <w:marBottom w:val="0"/>
          <w:divBdr>
            <w:top w:val="none" w:sz="0" w:space="0" w:color="auto"/>
            <w:left w:val="none" w:sz="0" w:space="0" w:color="auto"/>
            <w:bottom w:val="none" w:sz="0" w:space="0" w:color="auto"/>
            <w:right w:val="none" w:sz="0" w:space="0" w:color="auto"/>
          </w:divBdr>
          <w:divsChild>
            <w:div w:id="1299606964">
              <w:marLeft w:val="0"/>
              <w:marRight w:val="0"/>
              <w:marTop w:val="0"/>
              <w:marBottom w:val="0"/>
              <w:divBdr>
                <w:top w:val="none" w:sz="0" w:space="0" w:color="auto"/>
                <w:left w:val="none" w:sz="0" w:space="0" w:color="auto"/>
                <w:bottom w:val="none" w:sz="0" w:space="0" w:color="auto"/>
                <w:right w:val="none" w:sz="0" w:space="0" w:color="auto"/>
              </w:divBdr>
            </w:div>
          </w:divsChild>
        </w:div>
        <w:div w:id="1136098458">
          <w:marLeft w:val="0"/>
          <w:marRight w:val="0"/>
          <w:marTop w:val="0"/>
          <w:marBottom w:val="0"/>
          <w:divBdr>
            <w:top w:val="none" w:sz="0" w:space="0" w:color="auto"/>
            <w:left w:val="none" w:sz="0" w:space="0" w:color="auto"/>
            <w:bottom w:val="none" w:sz="0" w:space="0" w:color="auto"/>
            <w:right w:val="none" w:sz="0" w:space="0" w:color="auto"/>
          </w:divBdr>
          <w:divsChild>
            <w:div w:id="1279752476">
              <w:marLeft w:val="0"/>
              <w:marRight w:val="0"/>
              <w:marTop w:val="166"/>
              <w:marBottom w:val="166"/>
              <w:divBdr>
                <w:top w:val="none" w:sz="0" w:space="0" w:color="auto"/>
                <w:left w:val="none" w:sz="0" w:space="0" w:color="auto"/>
                <w:bottom w:val="none" w:sz="0" w:space="0" w:color="auto"/>
                <w:right w:val="none" w:sz="0" w:space="0" w:color="auto"/>
              </w:divBdr>
            </w:div>
          </w:divsChild>
        </w:div>
        <w:div w:id="713235103">
          <w:marLeft w:val="0"/>
          <w:marRight w:val="0"/>
          <w:marTop w:val="0"/>
          <w:marBottom w:val="0"/>
          <w:divBdr>
            <w:top w:val="none" w:sz="0" w:space="0" w:color="auto"/>
            <w:left w:val="none" w:sz="0" w:space="0" w:color="auto"/>
            <w:bottom w:val="none" w:sz="0" w:space="0" w:color="auto"/>
            <w:right w:val="none" w:sz="0" w:space="0" w:color="auto"/>
          </w:divBdr>
          <w:divsChild>
            <w:div w:id="1426876718">
              <w:marLeft w:val="0"/>
              <w:marRight w:val="0"/>
              <w:marTop w:val="0"/>
              <w:marBottom w:val="0"/>
              <w:divBdr>
                <w:top w:val="none" w:sz="0" w:space="0" w:color="auto"/>
                <w:left w:val="none" w:sz="0" w:space="0" w:color="auto"/>
                <w:bottom w:val="none" w:sz="0" w:space="0" w:color="auto"/>
                <w:right w:val="none" w:sz="0" w:space="0" w:color="auto"/>
              </w:divBdr>
              <w:divsChild>
                <w:div w:id="1507598844">
                  <w:marLeft w:val="0"/>
                  <w:marRight w:val="0"/>
                  <w:marTop w:val="166"/>
                  <w:marBottom w:val="166"/>
                  <w:divBdr>
                    <w:top w:val="none" w:sz="0" w:space="0" w:color="auto"/>
                    <w:left w:val="none" w:sz="0" w:space="0" w:color="auto"/>
                    <w:bottom w:val="none" w:sz="0" w:space="0" w:color="auto"/>
                    <w:right w:val="none" w:sz="0" w:space="0" w:color="auto"/>
                  </w:divBdr>
                </w:div>
                <w:div w:id="1240364716">
                  <w:marLeft w:val="0"/>
                  <w:marRight w:val="0"/>
                  <w:marTop w:val="166"/>
                  <w:marBottom w:val="166"/>
                  <w:divBdr>
                    <w:top w:val="none" w:sz="0" w:space="0" w:color="auto"/>
                    <w:left w:val="none" w:sz="0" w:space="0" w:color="auto"/>
                    <w:bottom w:val="none" w:sz="0" w:space="0" w:color="auto"/>
                    <w:right w:val="none" w:sz="0" w:space="0" w:color="auto"/>
                  </w:divBdr>
                </w:div>
                <w:div w:id="1341271715">
                  <w:marLeft w:val="0"/>
                  <w:marRight w:val="0"/>
                  <w:marTop w:val="166"/>
                  <w:marBottom w:val="166"/>
                  <w:divBdr>
                    <w:top w:val="none" w:sz="0" w:space="0" w:color="auto"/>
                    <w:left w:val="none" w:sz="0" w:space="0" w:color="auto"/>
                    <w:bottom w:val="none" w:sz="0" w:space="0" w:color="auto"/>
                    <w:right w:val="none" w:sz="0" w:space="0" w:color="auto"/>
                  </w:divBdr>
                </w:div>
                <w:div w:id="1232234366">
                  <w:marLeft w:val="0"/>
                  <w:marRight w:val="0"/>
                  <w:marTop w:val="166"/>
                  <w:marBottom w:val="166"/>
                  <w:divBdr>
                    <w:top w:val="none" w:sz="0" w:space="0" w:color="auto"/>
                    <w:left w:val="none" w:sz="0" w:space="0" w:color="auto"/>
                    <w:bottom w:val="none" w:sz="0" w:space="0" w:color="auto"/>
                    <w:right w:val="none" w:sz="0" w:space="0" w:color="auto"/>
                  </w:divBdr>
                </w:div>
                <w:div w:id="1863126888">
                  <w:marLeft w:val="0"/>
                  <w:marRight w:val="0"/>
                  <w:marTop w:val="166"/>
                  <w:marBottom w:val="166"/>
                  <w:divBdr>
                    <w:top w:val="none" w:sz="0" w:space="0" w:color="auto"/>
                    <w:left w:val="none" w:sz="0" w:space="0" w:color="auto"/>
                    <w:bottom w:val="none" w:sz="0" w:space="0" w:color="auto"/>
                    <w:right w:val="none" w:sz="0" w:space="0" w:color="auto"/>
                  </w:divBdr>
                </w:div>
                <w:div w:id="471482568">
                  <w:marLeft w:val="0"/>
                  <w:marRight w:val="0"/>
                  <w:marTop w:val="166"/>
                  <w:marBottom w:val="166"/>
                  <w:divBdr>
                    <w:top w:val="none" w:sz="0" w:space="0" w:color="auto"/>
                    <w:left w:val="none" w:sz="0" w:space="0" w:color="auto"/>
                    <w:bottom w:val="none" w:sz="0" w:space="0" w:color="auto"/>
                    <w:right w:val="none" w:sz="0" w:space="0" w:color="auto"/>
                  </w:divBdr>
                </w:div>
                <w:div w:id="1690642795">
                  <w:marLeft w:val="0"/>
                  <w:marRight w:val="0"/>
                  <w:marTop w:val="166"/>
                  <w:marBottom w:val="166"/>
                  <w:divBdr>
                    <w:top w:val="none" w:sz="0" w:space="0" w:color="auto"/>
                    <w:left w:val="none" w:sz="0" w:space="0" w:color="auto"/>
                    <w:bottom w:val="none" w:sz="0" w:space="0" w:color="auto"/>
                    <w:right w:val="none" w:sz="0" w:space="0" w:color="auto"/>
                  </w:divBdr>
                </w:div>
                <w:div w:id="46540491">
                  <w:marLeft w:val="0"/>
                  <w:marRight w:val="0"/>
                  <w:marTop w:val="166"/>
                  <w:marBottom w:val="166"/>
                  <w:divBdr>
                    <w:top w:val="none" w:sz="0" w:space="0" w:color="auto"/>
                    <w:left w:val="none" w:sz="0" w:space="0" w:color="auto"/>
                    <w:bottom w:val="none" w:sz="0" w:space="0" w:color="auto"/>
                    <w:right w:val="none" w:sz="0" w:space="0" w:color="auto"/>
                  </w:divBdr>
                </w:div>
                <w:div w:id="1505197660">
                  <w:marLeft w:val="0"/>
                  <w:marRight w:val="0"/>
                  <w:marTop w:val="166"/>
                  <w:marBottom w:val="166"/>
                  <w:divBdr>
                    <w:top w:val="none" w:sz="0" w:space="0" w:color="auto"/>
                    <w:left w:val="none" w:sz="0" w:space="0" w:color="auto"/>
                    <w:bottom w:val="none" w:sz="0" w:space="0" w:color="auto"/>
                    <w:right w:val="none" w:sz="0" w:space="0" w:color="auto"/>
                  </w:divBdr>
                </w:div>
                <w:div w:id="971641568">
                  <w:marLeft w:val="0"/>
                  <w:marRight w:val="0"/>
                  <w:marTop w:val="166"/>
                  <w:marBottom w:val="166"/>
                  <w:divBdr>
                    <w:top w:val="none" w:sz="0" w:space="0" w:color="auto"/>
                    <w:left w:val="none" w:sz="0" w:space="0" w:color="auto"/>
                    <w:bottom w:val="none" w:sz="0" w:space="0" w:color="auto"/>
                    <w:right w:val="none" w:sz="0" w:space="0" w:color="auto"/>
                  </w:divBdr>
                </w:div>
                <w:div w:id="679966175">
                  <w:marLeft w:val="0"/>
                  <w:marRight w:val="0"/>
                  <w:marTop w:val="166"/>
                  <w:marBottom w:val="166"/>
                  <w:divBdr>
                    <w:top w:val="none" w:sz="0" w:space="0" w:color="auto"/>
                    <w:left w:val="none" w:sz="0" w:space="0" w:color="auto"/>
                    <w:bottom w:val="none" w:sz="0" w:space="0" w:color="auto"/>
                    <w:right w:val="none" w:sz="0" w:space="0" w:color="auto"/>
                  </w:divBdr>
                </w:div>
                <w:div w:id="285432096">
                  <w:marLeft w:val="0"/>
                  <w:marRight w:val="0"/>
                  <w:marTop w:val="166"/>
                  <w:marBottom w:val="166"/>
                  <w:divBdr>
                    <w:top w:val="none" w:sz="0" w:space="0" w:color="auto"/>
                    <w:left w:val="none" w:sz="0" w:space="0" w:color="auto"/>
                    <w:bottom w:val="none" w:sz="0" w:space="0" w:color="auto"/>
                    <w:right w:val="none" w:sz="0" w:space="0" w:color="auto"/>
                  </w:divBdr>
                </w:div>
                <w:div w:id="1341396663">
                  <w:marLeft w:val="0"/>
                  <w:marRight w:val="0"/>
                  <w:marTop w:val="166"/>
                  <w:marBottom w:val="166"/>
                  <w:divBdr>
                    <w:top w:val="none" w:sz="0" w:space="0" w:color="auto"/>
                    <w:left w:val="none" w:sz="0" w:space="0" w:color="auto"/>
                    <w:bottom w:val="none" w:sz="0" w:space="0" w:color="auto"/>
                    <w:right w:val="none" w:sz="0" w:space="0" w:color="auto"/>
                  </w:divBdr>
                </w:div>
                <w:div w:id="1967155167">
                  <w:marLeft w:val="0"/>
                  <w:marRight w:val="0"/>
                  <w:marTop w:val="166"/>
                  <w:marBottom w:val="166"/>
                  <w:divBdr>
                    <w:top w:val="none" w:sz="0" w:space="0" w:color="auto"/>
                    <w:left w:val="none" w:sz="0" w:space="0" w:color="auto"/>
                    <w:bottom w:val="none" w:sz="0" w:space="0" w:color="auto"/>
                    <w:right w:val="none" w:sz="0" w:space="0" w:color="auto"/>
                  </w:divBdr>
                </w:div>
                <w:div w:id="1942638473">
                  <w:marLeft w:val="0"/>
                  <w:marRight w:val="0"/>
                  <w:marTop w:val="166"/>
                  <w:marBottom w:val="166"/>
                  <w:divBdr>
                    <w:top w:val="none" w:sz="0" w:space="0" w:color="auto"/>
                    <w:left w:val="none" w:sz="0" w:space="0" w:color="auto"/>
                    <w:bottom w:val="none" w:sz="0" w:space="0" w:color="auto"/>
                    <w:right w:val="none" w:sz="0" w:space="0" w:color="auto"/>
                  </w:divBdr>
                </w:div>
                <w:div w:id="1802653844">
                  <w:marLeft w:val="0"/>
                  <w:marRight w:val="0"/>
                  <w:marTop w:val="166"/>
                  <w:marBottom w:val="166"/>
                  <w:divBdr>
                    <w:top w:val="none" w:sz="0" w:space="0" w:color="auto"/>
                    <w:left w:val="none" w:sz="0" w:space="0" w:color="auto"/>
                    <w:bottom w:val="none" w:sz="0" w:space="0" w:color="auto"/>
                    <w:right w:val="none" w:sz="0" w:space="0" w:color="auto"/>
                  </w:divBdr>
                </w:div>
                <w:div w:id="1858930734">
                  <w:marLeft w:val="0"/>
                  <w:marRight w:val="0"/>
                  <w:marTop w:val="166"/>
                  <w:marBottom w:val="166"/>
                  <w:divBdr>
                    <w:top w:val="none" w:sz="0" w:space="0" w:color="auto"/>
                    <w:left w:val="none" w:sz="0" w:space="0" w:color="auto"/>
                    <w:bottom w:val="none" w:sz="0" w:space="0" w:color="auto"/>
                    <w:right w:val="none" w:sz="0" w:space="0" w:color="auto"/>
                  </w:divBdr>
                </w:div>
                <w:div w:id="1349715552">
                  <w:marLeft w:val="0"/>
                  <w:marRight w:val="0"/>
                  <w:marTop w:val="166"/>
                  <w:marBottom w:val="166"/>
                  <w:divBdr>
                    <w:top w:val="none" w:sz="0" w:space="0" w:color="auto"/>
                    <w:left w:val="none" w:sz="0" w:space="0" w:color="auto"/>
                    <w:bottom w:val="none" w:sz="0" w:space="0" w:color="auto"/>
                    <w:right w:val="none" w:sz="0" w:space="0" w:color="auto"/>
                  </w:divBdr>
                </w:div>
                <w:div w:id="694161795">
                  <w:marLeft w:val="0"/>
                  <w:marRight w:val="0"/>
                  <w:marTop w:val="166"/>
                  <w:marBottom w:val="166"/>
                  <w:divBdr>
                    <w:top w:val="none" w:sz="0" w:space="0" w:color="auto"/>
                    <w:left w:val="none" w:sz="0" w:space="0" w:color="auto"/>
                    <w:bottom w:val="none" w:sz="0" w:space="0" w:color="auto"/>
                    <w:right w:val="none" w:sz="0" w:space="0" w:color="auto"/>
                  </w:divBdr>
                </w:div>
                <w:div w:id="1348825190">
                  <w:marLeft w:val="0"/>
                  <w:marRight w:val="0"/>
                  <w:marTop w:val="166"/>
                  <w:marBottom w:val="166"/>
                  <w:divBdr>
                    <w:top w:val="none" w:sz="0" w:space="0" w:color="auto"/>
                    <w:left w:val="none" w:sz="0" w:space="0" w:color="auto"/>
                    <w:bottom w:val="none" w:sz="0" w:space="0" w:color="auto"/>
                    <w:right w:val="none" w:sz="0" w:space="0" w:color="auto"/>
                  </w:divBdr>
                </w:div>
                <w:div w:id="762915769">
                  <w:marLeft w:val="0"/>
                  <w:marRight w:val="0"/>
                  <w:marTop w:val="166"/>
                  <w:marBottom w:val="166"/>
                  <w:divBdr>
                    <w:top w:val="none" w:sz="0" w:space="0" w:color="auto"/>
                    <w:left w:val="none" w:sz="0" w:space="0" w:color="auto"/>
                    <w:bottom w:val="none" w:sz="0" w:space="0" w:color="auto"/>
                    <w:right w:val="none" w:sz="0" w:space="0" w:color="auto"/>
                  </w:divBdr>
                </w:div>
                <w:div w:id="2109109189">
                  <w:marLeft w:val="0"/>
                  <w:marRight w:val="0"/>
                  <w:marTop w:val="166"/>
                  <w:marBottom w:val="166"/>
                  <w:divBdr>
                    <w:top w:val="none" w:sz="0" w:space="0" w:color="auto"/>
                    <w:left w:val="none" w:sz="0" w:space="0" w:color="auto"/>
                    <w:bottom w:val="none" w:sz="0" w:space="0" w:color="auto"/>
                    <w:right w:val="none" w:sz="0" w:space="0" w:color="auto"/>
                  </w:divBdr>
                </w:div>
                <w:div w:id="1965310104">
                  <w:marLeft w:val="0"/>
                  <w:marRight w:val="0"/>
                  <w:marTop w:val="166"/>
                  <w:marBottom w:val="166"/>
                  <w:divBdr>
                    <w:top w:val="none" w:sz="0" w:space="0" w:color="auto"/>
                    <w:left w:val="none" w:sz="0" w:space="0" w:color="auto"/>
                    <w:bottom w:val="none" w:sz="0" w:space="0" w:color="auto"/>
                    <w:right w:val="none" w:sz="0" w:space="0" w:color="auto"/>
                  </w:divBdr>
                </w:div>
                <w:div w:id="807867107">
                  <w:marLeft w:val="0"/>
                  <w:marRight w:val="0"/>
                  <w:marTop w:val="166"/>
                  <w:marBottom w:val="166"/>
                  <w:divBdr>
                    <w:top w:val="none" w:sz="0" w:space="0" w:color="auto"/>
                    <w:left w:val="none" w:sz="0" w:space="0" w:color="auto"/>
                    <w:bottom w:val="none" w:sz="0" w:space="0" w:color="auto"/>
                    <w:right w:val="none" w:sz="0" w:space="0" w:color="auto"/>
                  </w:divBdr>
                </w:div>
                <w:div w:id="233777904">
                  <w:marLeft w:val="0"/>
                  <w:marRight w:val="0"/>
                  <w:marTop w:val="166"/>
                  <w:marBottom w:val="166"/>
                  <w:divBdr>
                    <w:top w:val="none" w:sz="0" w:space="0" w:color="auto"/>
                    <w:left w:val="none" w:sz="0" w:space="0" w:color="auto"/>
                    <w:bottom w:val="none" w:sz="0" w:space="0" w:color="auto"/>
                    <w:right w:val="none" w:sz="0" w:space="0" w:color="auto"/>
                  </w:divBdr>
                </w:div>
                <w:div w:id="990451748">
                  <w:marLeft w:val="0"/>
                  <w:marRight w:val="0"/>
                  <w:marTop w:val="166"/>
                  <w:marBottom w:val="166"/>
                  <w:divBdr>
                    <w:top w:val="none" w:sz="0" w:space="0" w:color="auto"/>
                    <w:left w:val="none" w:sz="0" w:space="0" w:color="auto"/>
                    <w:bottom w:val="none" w:sz="0" w:space="0" w:color="auto"/>
                    <w:right w:val="none" w:sz="0" w:space="0" w:color="auto"/>
                  </w:divBdr>
                </w:div>
                <w:div w:id="850415151">
                  <w:marLeft w:val="0"/>
                  <w:marRight w:val="0"/>
                  <w:marTop w:val="166"/>
                  <w:marBottom w:val="166"/>
                  <w:divBdr>
                    <w:top w:val="none" w:sz="0" w:space="0" w:color="auto"/>
                    <w:left w:val="none" w:sz="0" w:space="0" w:color="auto"/>
                    <w:bottom w:val="none" w:sz="0" w:space="0" w:color="auto"/>
                    <w:right w:val="none" w:sz="0" w:space="0" w:color="auto"/>
                  </w:divBdr>
                </w:div>
                <w:div w:id="141507561">
                  <w:marLeft w:val="0"/>
                  <w:marRight w:val="0"/>
                  <w:marTop w:val="166"/>
                  <w:marBottom w:val="166"/>
                  <w:divBdr>
                    <w:top w:val="none" w:sz="0" w:space="0" w:color="auto"/>
                    <w:left w:val="none" w:sz="0" w:space="0" w:color="auto"/>
                    <w:bottom w:val="none" w:sz="0" w:space="0" w:color="auto"/>
                    <w:right w:val="none" w:sz="0" w:space="0" w:color="auto"/>
                  </w:divBdr>
                </w:div>
                <w:div w:id="1949921232">
                  <w:marLeft w:val="0"/>
                  <w:marRight w:val="0"/>
                  <w:marTop w:val="166"/>
                  <w:marBottom w:val="166"/>
                  <w:divBdr>
                    <w:top w:val="none" w:sz="0" w:space="0" w:color="auto"/>
                    <w:left w:val="none" w:sz="0" w:space="0" w:color="auto"/>
                    <w:bottom w:val="none" w:sz="0" w:space="0" w:color="auto"/>
                    <w:right w:val="none" w:sz="0" w:space="0" w:color="auto"/>
                  </w:divBdr>
                </w:div>
                <w:div w:id="749036443">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mc/articles/PMC3687310/" TargetMode="External"/><Relationship Id="rId21" Type="http://schemas.openxmlformats.org/officeDocument/2006/relationships/hyperlink" Target="https://www.ncbi.nlm.nih.gov/pmc/articles/PMC3687310/" TargetMode="External"/><Relationship Id="rId42" Type="http://schemas.openxmlformats.org/officeDocument/2006/relationships/hyperlink" Target="https://www.ncbi.nlm.nih.gov/pmc/articles/PMC3687310/table/T3/" TargetMode="External"/><Relationship Id="rId47" Type="http://schemas.openxmlformats.org/officeDocument/2006/relationships/hyperlink" Target="http://care.diabetesjournals.org/lookup/suppl/doi:10.2337/dc12-2160/-/DC1" TargetMode="External"/><Relationship Id="rId63" Type="http://schemas.openxmlformats.org/officeDocument/2006/relationships/hyperlink" Target="https://www.ncbi.nlm.nih.gov/pmc/articles/PMC3687310/" TargetMode="External"/><Relationship Id="rId68" Type="http://schemas.openxmlformats.org/officeDocument/2006/relationships/hyperlink" Target="https://www.ncbi.nlm.nih.gov/pmc/articles/PMC3687310/" TargetMode="External"/><Relationship Id="rId84" Type="http://schemas.openxmlformats.org/officeDocument/2006/relationships/hyperlink" Target="https://www.ncbi.nlm.nih.gov/pubmed/22513920" TargetMode="External"/><Relationship Id="rId89" Type="http://schemas.openxmlformats.org/officeDocument/2006/relationships/hyperlink" Target="https://www.ncbi.nlm.nih.gov/pubmed/14656615" TargetMode="External"/><Relationship Id="rId16" Type="http://schemas.openxmlformats.org/officeDocument/2006/relationships/hyperlink" Target="https://www.ncbi.nlm.nih.gov/pmc/articles/PMC3687310/" TargetMode="External"/><Relationship Id="rId11" Type="http://schemas.openxmlformats.org/officeDocument/2006/relationships/hyperlink" Target="mailto:margo@mail.med.upenn.edu" TargetMode="External"/><Relationship Id="rId32" Type="http://schemas.openxmlformats.org/officeDocument/2006/relationships/hyperlink" Target="https://www.ncbi.nlm.nih.gov/pmc/articles/PMC3687310/" TargetMode="External"/><Relationship Id="rId37" Type="http://schemas.openxmlformats.org/officeDocument/2006/relationships/image" Target="media/image1.png"/><Relationship Id="rId53" Type="http://schemas.openxmlformats.org/officeDocument/2006/relationships/hyperlink" Target="https://www.ncbi.nlm.nih.gov/pmc/articles/PMC3687310/" TargetMode="External"/><Relationship Id="rId58" Type="http://schemas.openxmlformats.org/officeDocument/2006/relationships/hyperlink" Target="https://www.ncbi.nlm.nih.gov/pmc/articles/PMC3687310/" TargetMode="External"/><Relationship Id="rId74" Type="http://schemas.openxmlformats.org/officeDocument/2006/relationships/hyperlink" Target="http://care.diabetesjournals.org/lookup/suppl/doi:10.2337/dc12-2160/-/DC1" TargetMode="External"/><Relationship Id="rId79" Type="http://schemas.openxmlformats.org/officeDocument/2006/relationships/hyperlink" Target="https://www.ncbi.nlm.nih.gov/pubmed/8941460" TargetMode="External"/><Relationship Id="rId102" Type="http://schemas.openxmlformats.org/officeDocument/2006/relationships/hyperlink" Target="https://www.ncbi.nlm.nih.gov/pubmed/12351487" TargetMode="External"/><Relationship Id="rId5" Type="http://schemas.openxmlformats.org/officeDocument/2006/relationships/hyperlink" Target="https://dx.doi.org/10.2337%2Fdc12-2160" TargetMode="External"/><Relationship Id="rId90" Type="http://schemas.openxmlformats.org/officeDocument/2006/relationships/hyperlink" Target="https://www.ncbi.nlm.nih.gov/pubmed/15660734" TargetMode="External"/><Relationship Id="rId95" Type="http://schemas.openxmlformats.org/officeDocument/2006/relationships/hyperlink" Target="https://www.ncbi.nlm.nih.gov/pubmed/11213881" TargetMode="External"/><Relationship Id="rId22" Type="http://schemas.openxmlformats.org/officeDocument/2006/relationships/hyperlink" Target="https://www.ncbi.nlm.nih.gov/pmc/articles/PMC3687310/" TargetMode="External"/><Relationship Id="rId27" Type="http://schemas.openxmlformats.org/officeDocument/2006/relationships/hyperlink" Target="https://www.ncbi.nlm.nih.gov/pmc/articles/PMC3687310/" TargetMode="External"/><Relationship Id="rId43" Type="http://schemas.openxmlformats.org/officeDocument/2006/relationships/hyperlink" Target="https://www.ncbi.nlm.nih.gov/pmc/articles/PMC3687310/table/T3/" TargetMode="External"/><Relationship Id="rId48" Type="http://schemas.openxmlformats.org/officeDocument/2006/relationships/hyperlink" Target="https://www.ncbi.nlm.nih.gov/pmc/articles/PMC3687310/" TargetMode="External"/><Relationship Id="rId64" Type="http://schemas.openxmlformats.org/officeDocument/2006/relationships/hyperlink" Target="https://www.ncbi.nlm.nih.gov/pmc/articles/PMC3687310/" TargetMode="External"/><Relationship Id="rId69" Type="http://schemas.openxmlformats.org/officeDocument/2006/relationships/hyperlink" Target="https://www.ncbi.nlm.nih.gov/pmc/articles/PMC3687310/" TargetMode="External"/><Relationship Id="rId80" Type="http://schemas.openxmlformats.org/officeDocument/2006/relationships/hyperlink" Target="https://www.ncbi.nlm.nih.gov/pubmed/1303408" TargetMode="External"/><Relationship Id="rId85" Type="http://schemas.openxmlformats.org/officeDocument/2006/relationships/hyperlink" Target="https://dx.doi.org/10.1002%2F14651858.CD004123.pub3" TargetMode="External"/><Relationship Id="rId12" Type="http://schemas.openxmlformats.org/officeDocument/2006/relationships/hyperlink" Target="https://www.ncbi.nlm.nih.gov/pmc/articles/PMC3687310/citedby/" TargetMode="External"/><Relationship Id="rId17" Type="http://schemas.openxmlformats.org/officeDocument/2006/relationships/hyperlink" Target="https://www.ncbi.nlm.nih.gov/pmc/articles/PMC3687310/" TargetMode="External"/><Relationship Id="rId33" Type="http://schemas.openxmlformats.org/officeDocument/2006/relationships/hyperlink" Target="https://www.ncbi.nlm.nih.gov/pmc/articles/PMC3687310/" TargetMode="External"/><Relationship Id="rId38" Type="http://schemas.openxmlformats.org/officeDocument/2006/relationships/hyperlink" Target="https://www.ncbi.nlm.nih.gov/pmc/articles/PMC3687310/table/T1/" TargetMode="External"/><Relationship Id="rId59" Type="http://schemas.openxmlformats.org/officeDocument/2006/relationships/hyperlink" Target="https://www.ncbi.nlm.nih.gov/pmc/articles/PMC3687310/" TargetMode="External"/><Relationship Id="rId103" Type="http://schemas.openxmlformats.org/officeDocument/2006/relationships/hyperlink" Target="https://www.ncbi.nlm.nih.gov/pubmed/12555288" TargetMode="External"/><Relationship Id="rId20" Type="http://schemas.openxmlformats.org/officeDocument/2006/relationships/hyperlink" Target="https://www.ncbi.nlm.nih.gov/pmc/articles/PMC3687310/" TargetMode="External"/><Relationship Id="rId41" Type="http://schemas.openxmlformats.org/officeDocument/2006/relationships/hyperlink" Target="https://www.ncbi.nlm.nih.gov/pmc/articles/PMC3687310/table/T2/" TargetMode="External"/><Relationship Id="rId54" Type="http://schemas.openxmlformats.org/officeDocument/2006/relationships/hyperlink" Target="https://www.ncbi.nlm.nih.gov/pmc/articles/PMC3687310/" TargetMode="External"/><Relationship Id="rId62" Type="http://schemas.openxmlformats.org/officeDocument/2006/relationships/hyperlink" Target="https://www.ncbi.nlm.nih.gov/pmc/articles/PMC3687310/" TargetMode="External"/><Relationship Id="rId70" Type="http://schemas.openxmlformats.org/officeDocument/2006/relationships/hyperlink" Target="https://www.ncbi.nlm.nih.gov/pmc/articles/PMC3687310/" TargetMode="External"/><Relationship Id="rId75" Type="http://schemas.openxmlformats.org/officeDocument/2006/relationships/hyperlink" Target="https://www.ncbi.nlm.nih.gov/pmc/articles/PMC3687310/" TargetMode="External"/><Relationship Id="rId83" Type="http://schemas.openxmlformats.org/officeDocument/2006/relationships/hyperlink" Target="https://www.ncbi.nlm.nih.gov/pubmed/20427683" TargetMode="External"/><Relationship Id="rId88" Type="http://schemas.openxmlformats.org/officeDocument/2006/relationships/hyperlink" Target="https://www.ncbi.nlm.nih.gov/pubmed/16283867" TargetMode="External"/><Relationship Id="rId91" Type="http://schemas.openxmlformats.org/officeDocument/2006/relationships/hyperlink" Target="https://www.ncbi.nlm.nih.gov/pubmed/1952480" TargetMode="External"/><Relationship Id="rId96" Type="http://schemas.openxmlformats.org/officeDocument/2006/relationships/hyperlink" Target="https://www.ncbi.nlm.nih.gov/pubmed/23045921" TargetMode="External"/><Relationship Id="rId1" Type="http://schemas.openxmlformats.org/officeDocument/2006/relationships/styles" Target="styles.xml"/><Relationship Id="rId6" Type="http://schemas.openxmlformats.org/officeDocument/2006/relationships/hyperlink" Target="https://www.ncbi.nlm.nih.gov/pubmed/?term=Margolis%20DJ%5BAuthor%5D&amp;cauthor=true&amp;cauthor_uid=23423696" TargetMode="External"/><Relationship Id="rId15" Type="http://schemas.openxmlformats.org/officeDocument/2006/relationships/hyperlink" Target="https://www.ncbi.nlm.nih.gov/pmc/articles/PMC3687310/" TargetMode="External"/><Relationship Id="rId23" Type="http://schemas.openxmlformats.org/officeDocument/2006/relationships/hyperlink" Target="https://www.ncbi.nlm.nih.gov/pmc/articles/PMC3687310/" TargetMode="External"/><Relationship Id="rId28" Type="http://schemas.openxmlformats.org/officeDocument/2006/relationships/hyperlink" Target="http://care.diabetesjournals.org/lookup/suppl/doi:10.2337/dc12-2160/-/DC1" TargetMode="External"/><Relationship Id="rId36" Type="http://schemas.openxmlformats.org/officeDocument/2006/relationships/hyperlink" Target="https://www.ncbi.nlm.nih.gov/pmc/articles/PMC3687310/table/T1/" TargetMode="External"/><Relationship Id="rId49" Type="http://schemas.openxmlformats.org/officeDocument/2006/relationships/hyperlink" Target="https://www.ncbi.nlm.nih.gov/pmc/articles/PMC3687310/" TargetMode="External"/><Relationship Id="rId57" Type="http://schemas.openxmlformats.org/officeDocument/2006/relationships/hyperlink" Target="https://www.ncbi.nlm.nih.gov/pmc/articles/PMC3687310/" TargetMode="External"/><Relationship Id="rId10" Type="http://schemas.openxmlformats.org/officeDocument/2006/relationships/hyperlink" Target="https://www.ncbi.nlm.nih.gov/pubmed/?term=Mitra%20N%5BAuthor%5D&amp;cauthor=true&amp;cauthor_uid=23423696" TargetMode="External"/><Relationship Id="rId31" Type="http://schemas.openxmlformats.org/officeDocument/2006/relationships/hyperlink" Target="http://care.diabetesjournals.org/lookup/suppl/doi:10.2337/dc12-2160/-/DC1" TargetMode="External"/><Relationship Id="rId44" Type="http://schemas.openxmlformats.org/officeDocument/2006/relationships/hyperlink" Target="https://www.ncbi.nlm.nih.gov/pmc/articles/PMC3687310/table/T3/" TargetMode="External"/><Relationship Id="rId52" Type="http://schemas.openxmlformats.org/officeDocument/2006/relationships/hyperlink" Target="https://www.ncbi.nlm.nih.gov/pmc/articles/PMC3687310/" TargetMode="External"/><Relationship Id="rId60" Type="http://schemas.openxmlformats.org/officeDocument/2006/relationships/hyperlink" Target="https://www.ncbi.nlm.nih.gov/pmc/articles/PMC3687310/" TargetMode="External"/><Relationship Id="rId65" Type="http://schemas.openxmlformats.org/officeDocument/2006/relationships/hyperlink" Target="https://www.ncbi.nlm.nih.gov/pmc/articles/PMC3687310/" TargetMode="External"/><Relationship Id="rId73" Type="http://schemas.openxmlformats.org/officeDocument/2006/relationships/hyperlink" Target="https://www.ncbi.nlm.nih.gov/pmc/articles/PMC3687310/" TargetMode="External"/><Relationship Id="rId78" Type="http://schemas.openxmlformats.org/officeDocument/2006/relationships/hyperlink" Target="https://www.ncbi.nlm.nih.gov/pubmed/12787692" TargetMode="External"/><Relationship Id="rId81" Type="http://schemas.openxmlformats.org/officeDocument/2006/relationships/hyperlink" Target="https://www.ncbi.nlm.nih.gov/pubmed/18442185" TargetMode="External"/><Relationship Id="rId86" Type="http://schemas.openxmlformats.org/officeDocument/2006/relationships/hyperlink" Target="https://www.ncbi.nlm.nih.gov/pubmed/20300054" TargetMode="External"/><Relationship Id="rId94" Type="http://schemas.openxmlformats.org/officeDocument/2006/relationships/hyperlink" Target="https://www.ncbi.nlm.nih.gov/pubmed/7823364" TargetMode="External"/><Relationship Id="rId99" Type="http://schemas.openxmlformats.org/officeDocument/2006/relationships/hyperlink" Target="https://www.ncbi.nlm.nih.gov/pubmed/15520052" TargetMode="External"/><Relationship Id="rId101" Type="http://schemas.openxmlformats.org/officeDocument/2006/relationships/hyperlink" Target="https://www.ncbi.nlm.nih.gov/pubmed/11289472" TargetMode="External"/><Relationship Id="rId4" Type="http://schemas.openxmlformats.org/officeDocument/2006/relationships/hyperlink" Target="https://www.ncbi.nlm.nih.gov/pmc/articles/PMC3687310/" TargetMode="External"/><Relationship Id="rId9" Type="http://schemas.openxmlformats.org/officeDocument/2006/relationships/hyperlink" Target="https://www.ncbi.nlm.nih.gov/pubmed/?term=Thom%20SR%5BAuthor%5D&amp;cauthor=true&amp;cauthor_uid=23423696" TargetMode="External"/><Relationship Id="rId13" Type="http://schemas.openxmlformats.org/officeDocument/2006/relationships/hyperlink" Target="https://www.ncbi.nlm.nih.gov/pmc/articles/PMC3687310/" TargetMode="External"/><Relationship Id="rId18" Type="http://schemas.openxmlformats.org/officeDocument/2006/relationships/hyperlink" Target="https://www.ncbi.nlm.nih.gov/pmc/articles/PMC3687310/" TargetMode="External"/><Relationship Id="rId39" Type="http://schemas.openxmlformats.org/officeDocument/2006/relationships/hyperlink" Target="https://www.ncbi.nlm.nih.gov/pmc/articles/PMC3687310/table/T2/" TargetMode="External"/><Relationship Id="rId34" Type="http://schemas.openxmlformats.org/officeDocument/2006/relationships/hyperlink" Target="https://www.ncbi.nlm.nih.gov/pmc/articles/PMC3687310/" TargetMode="External"/><Relationship Id="rId50" Type="http://schemas.openxmlformats.org/officeDocument/2006/relationships/hyperlink" Target="https://www.ncbi.nlm.nih.gov/pmc/articles/PMC3687310/" TargetMode="External"/><Relationship Id="rId55" Type="http://schemas.openxmlformats.org/officeDocument/2006/relationships/hyperlink" Target="https://www.ncbi.nlm.nih.gov/pmc/articles/PMC3687310/" TargetMode="External"/><Relationship Id="rId76" Type="http://schemas.openxmlformats.org/officeDocument/2006/relationships/hyperlink" Target="https://www.ncbi.nlm.nih.gov/pubmed/18471250" TargetMode="External"/><Relationship Id="rId97" Type="http://schemas.openxmlformats.org/officeDocument/2006/relationships/hyperlink" Target="https://www.ncbi.nlm.nih.gov/pubmed/17199833" TargetMode="External"/><Relationship Id="rId104" Type="http://schemas.openxmlformats.org/officeDocument/2006/relationships/fontTable" Target="fontTable.xml"/><Relationship Id="rId7" Type="http://schemas.openxmlformats.org/officeDocument/2006/relationships/hyperlink" Target="https://www.ncbi.nlm.nih.gov/pubmed/?term=Hoffstad%20O%5BAuthor%5D&amp;cauthor=true&amp;cauthor_uid=23423696" TargetMode="External"/><Relationship Id="rId71" Type="http://schemas.openxmlformats.org/officeDocument/2006/relationships/hyperlink" Target="https://www.ncbi.nlm.nih.gov/pmc/articles/PMC3687310/" TargetMode="External"/><Relationship Id="rId92" Type="http://schemas.openxmlformats.org/officeDocument/2006/relationships/hyperlink" Target="https://www.ncbi.nlm.nih.gov/pubmed/2049516" TargetMode="External"/><Relationship Id="rId2" Type="http://schemas.openxmlformats.org/officeDocument/2006/relationships/settings" Target="settings.xml"/><Relationship Id="rId29" Type="http://schemas.openxmlformats.org/officeDocument/2006/relationships/hyperlink" Target="https://www.ncbi.nlm.nih.gov/pmc/articles/PMC3687310/" TargetMode="External"/><Relationship Id="rId24" Type="http://schemas.openxmlformats.org/officeDocument/2006/relationships/hyperlink" Target="https://www.ncbi.nlm.nih.gov/pmc/articles/PMC3687310/" TargetMode="External"/><Relationship Id="rId40" Type="http://schemas.openxmlformats.org/officeDocument/2006/relationships/image" Target="media/image2.png"/><Relationship Id="rId45" Type="http://schemas.openxmlformats.org/officeDocument/2006/relationships/image" Target="media/image3.png"/><Relationship Id="rId66" Type="http://schemas.openxmlformats.org/officeDocument/2006/relationships/hyperlink" Target="https://www.ncbi.nlm.nih.gov/pmc/articles/PMC3687310/" TargetMode="External"/><Relationship Id="rId87" Type="http://schemas.openxmlformats.org/officeDocument/2006/relationships/hyperlink" Target="https://www.ncbi.nlm.nih.gov/pubmed/23126458" TargetMode="External"/><Relationship Id="rId61" Type="http://schemas.openxmlformats.org/officeDocument/2006/relationships/hyperlink" Target="https://www.ncbi.nlm.nih.gov/pmc/articles/PMC3687310/" TargetMode="External"/><Relationship Id="rId82" Type="http://schemas.openxmlformats.org/officeDocument/2006/relationships/hyperlink" Target="https://www.ncbi.nlm.nih.gov/pmc/articles/PMC2858204/" TargetMode="External"/><Relationship Id="rId19" Type="http://schemas.openxmlformats.org/officeDocument/2006/relationships/hyperlink" Target="http://care.diabetesjournals.org/lookup/suppl/doi:10.2337/dc12-2160/-/DC1" TargetMode="External"/><Relationship Id="rId14" Type="http://schemas.openxmlformats.org/officeDocument/2006/relationships/hyperlink" Target="https://www.ncbi.nlm.nih.gov/pmc/articles/PMC3687310/" TargetMode="External"/><Relationship Id="rId30" Type="http://schemas.openxmlformats.org/officeDocument/2006/relationships/hyperlink" Target="https://www.ncbi.nlm.nih.gov/pmc/articles/PMC3687310/" TargetMode="External"/><Relationship Id="rId35" Type="http://schemas.openxmlformats.org/officeDocument/2006/relationships/hyperlink" Target="https://www.ncbi.nlm.nih.gov/pmc/articles/PMC3687310/table/T1/" TargetMode="External"/><Relationship Id="rId56" Type="http://schemas.openxmlformats.org/officeDocument/2006/relationships/hyperlink" Target="https://www.ncbi.nlm.nih.gov/pmc/articles/PMC3687310/" TargetMode="External"/><Relationship Id="rId77" Type="http://schemas.openxmlformats.org/officeDocument/2006/relationships/hyperlink" Target="https://www.ncbi.nlm.nih.gov/pubmed/12882865" TargetMode="External"/><Relationship Id="rId100" Type="http://schemas.openxmlformats.org/officeDocument/2006/relationships/hyperlink" Target="https://www.ncbi.nlm.nih.gov/pubmed/21310502" TargetMode="External"/><Relationship Id="rId105" Type="http://schemas.openxmlformats.org/officeDocument/2006/relationships/theme" Target="theme/theme1.xml"/><Relationship Id="rId8" Type="http://schemas.openxmlformats.org/officeDocument/2006/relationships/hyperlink" Target="https://www.ncbi.nlm.nih.gov/pubmed/?term=Glick%20HA%5BAuthor%5D&amp;cauthor=true&amp;cauthor_uid=23423696" TargetMode="External"/><Relationship Id="rId51" Type="http://schemas.openxmlformats.org/officeDocument/2006/relationships/hyperlink" Target="https://www.ncbi.nlm.nih.gov/pmc/articles/PMC3687310/" TargetMode="External"/><Relationship Id="rId72" Type="http://schemas.openxmlformats.org/officeDocument/2006/relationships/hyperlink" Target="https://www.ncbi.nlm.nih.gov/pmc/articles/PMC3687310/" TargetMode="External"/><Relationship Id="rId93" Type="http://schemas.openxmlformats.org/officeDocument/2006/relationships/hyperlink" Target="https://www.ncbi.nlm.nih.gov/pubmed/15735186" TargetMode="External"/><Relationship Id="rId98" Type="http://schemas.openxmlformats.org/officeDocument/2006/relationships/hyperlink" Target="https://www.ncbi.nlm.nih.gov/pubmed/2240387" TargetMode="External"/><Relationship Id="rId3" Type="http://schemas.openxmlformats.org/officeDocument/2006/relationships/webSettings" Target="webSettings.xml"/><Relationship Id="rId25" Type="http://schemas.openxmlformats.org/officeDocument/2006/relationships/hyperlink" Target="https://www.ncbi.nlm.nih.gov/pmc/articles/PMC3687310/" TargetMode="External"/><Relationship Id="rId46" Type="http://schemas.openxmlformats.org/officeDocument/2006/relationships/hyperlink" Target="https://www.ncbi.nlm.nih.gov/pmc/articles/PMC3687310/table/T3/" TargetMode="External"/><Relationship Id="rId67" Type="http://schemas.openxmlformats.org/officeDocument/2006/relationships/hyperlink" Target="https://www.ncbi.nlm.nih.gov/pmc/articles/PMC36873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12</Pages>
  <Words>6212</Words>
  <Characters>35413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bryan.lin</dc:creator>
  <cp:keywords/>
  <dc:description/>
  <cp:lastModifiedBy>bryan.lin</cp:lastModifiedBy>
  <cp:revision>1</cp:revision>
  <dcterms:created xsi:type="dcterms:W3CDTF">2018-02-12T14:26:00Z</dcterms:created>
  <dcterms:modified xsi:type="dcterms:W3CDTF">2018-02-12T20:57:00Z</dcterms:modified>
</cp:coreProperties>
</file>